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336" w:lineRule="atLeast"/>
        <w:jc w:val="right"/>
        <w:textAlignment w:val="baseline"/>
        <w:rPr>
          <w:rFonts w:ascii="Helvetica" w:eastAsia="Times New Roman" w:hAnsi="Helvetica" w:cs="Helvetica"/>
          <w:color w:val="000000"/>
          <w:sz w:val="18"/>
          <w:szCs w:val="18"/>
          <w:lang w:eastAsia="uk-UA"/>
        </w:rPr>
      </w:pPr>
    </w:p>
    <w:tbl>
      <w:tblPr>
        <w:tblW w:w="5000" w:type="pct"/>
        <w:tblBorders>
          <w:top w:val="single" w:sz="6" w:space="0" w:color="CCCCCC"/>
          <w:left w:val="single" w:sz="6" w:space="0" w:color="CCCCCC"/>
          <w:bottom w:val="single" w:sz="18" w:space="0" w:color="0D4A6C"/>
          <w:right w:val="single" w:sz="6" w:space="0" w:color="CCCCCC"/>
        </w:tblBorders>
        <w:tblCellMar>
          <w:left w:w="0" w:type="dxa"/>
          <w:right w:w="0" w:type="dxa"/>
        </w:tblCellMar>
        <w:tblLook w:val="04A0" w:firstRow="1" w:lastRow="0" w:firstColumn="1" w:lastColumn="0" w:noHBand="0" w:noVBand="1"/>
      </w:tblPr>
      <w:tblGrid>
        <w:gridCol w:w="1402"/>
        <w:gridCol w:w="3411"/>
        <w:gridCol w:w="1205"/>
        <w:gridCol w:w="1260"/>
        <w:gridCol w:w="1209"/>
        <w:gridCol w:w="1136"/>
      </w:tblGrid>
      <w:tr w:rsidR="009509A1" w:rsidRPr="009509A1" w:rsidTr="0094400D">
        <w:trPr>
          <w:tblHeader/>
        </w:trPr>
        <w:tc>
          <w:tcPr>
            <w:tcW w:w="1408" w:type="dxa"/>
            <w:vMerge w:val="restart"/>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hideMark/>
          </w:tcPr>
          <w:p w:rsidR="00816579" w:rsidRPr="009509A1"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336" w:lineRule="atLeast"/>
              <w:jc w:val="center"/>
              <w:textAlignment w:val="baseline"/>
              <w:rPr>
                <w:rFonts w:ascii="Arial" w:eastAsia="Times New Roman" w:hAnsi="Arial" w:cs="Arial"/>
                <w:b/>
                <w:bCs/>
                <w:sz w:val="17"/>
                <w:szCs w:val="17"/>
                <w:lang w:eastAsia="uk-UA"/>
              </w:rPr>
            </w:pPr>
            <w:r w:rsidRPr="009509A1">
              <w:rPr>
                <w:rFonts w:ascii="Arial" w:eastAsia="Times New Roman" w:hAnsi="Arial" w:cs="Arial"/>
                <w:b/>
                <w:bCs/>
                <w:sz w:val="17"/>
                <w:szCs w:val="17"/>
                <w:bdr w:val="none" w:sz="0" w:space="0" w:color="auto" w:frame="1"/>
                <w:lang w:eastAsia="uk-UA"/>
              </w:rPr>
              <w:t>П</w:t>
            </w:r>
            <w:r w:rsidR="009509A1" w:rsidRPr="009509A1">
              <w:rPr>
                <w:rFonts w:ascii="Arial" w:eastAsia="Times New Roman" w:hAnsi="Arial" w:cs="Arial"/>
                <w:b/>
                <w:bCs/>
                <w:sz w:val="17"/>
                <w:szCs w:val="17"/>
                <w:bdr w:val="none" w:sz="0" w:space="0" w:color="auto" w:frame="1"/>
                <w:lang w:val="ru-RU" w:eastAsia="uk-UA"/>
              </w:rPr>
              <w:t>п</w:t>
            </w:r>
            <w:r w:rsidRPr="009509A1">
              <w:rPr>
                <w:rFonts w:ascii="Arial" w:eastAsia="Times New Roman" w:hAnsi="Arial" w:cs="Arial"/>
                <w:b/>
                <w:bCs/>
                <w:sz w:val="17"/>
                <w:szCs w:val="17"/>
                <w:bdr w:val="none" w:sz="0" w:space="0" w:color="auto" w:frame="1"/>
                <w:lang w:eastAsia="uk-UA"/>
              </w:rPr>
              <w:t>. </w:t>
            </w:r>
            <w:hyperlink r:id="rId4" w:tgtFrame="_blank" w:history="1">
              <w:r w:rsidRPr="009509A1">
                <w:rPr>
                  <w:rFonts w:ascii="Arial" w:eastAsia="Times New Roman" w:hAnsi="Arial" w:cs="Arial"/>
                  <w:b/>
                  <w:bCs/>
                  <w:sz w:val="17"/>
                  <w:szCs w:val="17"/>
                  <w:u w:val="single"/>
                  <w:bdr w:val="none" w:sz="0" w:space="0" w:color="auto" w:frame="1"/>
                  <w:lang w:eastAsia="uk-UA"/>
                </w:rPr>
                <w:t>Інструкції № 5</w:t>
              </w:r>
            </w:hyperlink>
          </w:p>
        </w:tc>
        <w:tc>
          <w:tcPr>
            <w:tcW w:w="3640" w:type="dxa"/>
            <w:vMerge w:val="restart"/>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hideMark/>
          </w:tcPr>
          <w:p w:rsidR="00816579" w:rsidRPr="009509A1"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336" w:lineRule="atLeast"/>
              <w:jc w:val="center"/>
              <w:textAlignment w:val="baseline"/>
              <w:rPr>
                <w:rFonts w:ascii="Arial" w:eastAsia="Times New Roman" w:hAnsi="Arial" w:cs="Arial"/>
                <w:b/>
                <w:bCs/>
                <w:sz w:val="17"/>
                <w:szCs w:val="17"/>
                <w:lang w:eastAsia="uk-UA"/>
              </w:rPr>
            </w:pPr>
            <w:r w:rsidRPr="009509A1">
              <w:rPr>
                <w:rFonts w:ascii="Arial" w:eastAsia="Times New Roman" w:hAnsi="Arial" w:cs="Arial"/>
                <w:b/>
                <w:bCs/>
                <w:sz w:val="17"/>
                <w:szCs w:val="17"/>
                <w:bdr w:val="none" w:sz="0" w:space="0" w:color="auto" w:frame="1"/>
                <w:lang w:eastAsia="uk-UA"/>
              </w:rPr>
              <w:t>Види виплат</w:t>
            </w:r>
          </w:p>
        </w:tc>
        <w:tc>
          <w:tcPr>
            <w:tcW w:w="4831" w:type="dxa"/>
            <w:gridSpan w:val="4"/>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hideMark/>
          </w:tcPr>
          <w:p w:rsidR="00816579" w:rsidRPr="009509A1"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336" w:lineRule="atLeast"/>
              <w:jc w:val="center"/>
              <w:textAlignment w:val="baseline"/>
              <w:rPr>
                <w:rFonts w:ascii="Arial" w:eastAsia="Times New Roman" w:hAnsi="Arial" w:cs="Arial"/>
                <w:b/>
                <w:bCs/>
                <w:sz w:val="17"/>
                <w:szCs w:val="17"/>
                <w:lang w:eastAsia="uk-UA"/>
              </w:rPr>
            </w:pPr>
            <w:r w:rsidRPr="009509A1">
              <w:rPr>
                <w:rFonts w:ascii="Arial" w:eastAsia="Times New Roman" w:hAnsi="Arial" w:cs="Arial"/>
                <w:b/>
                <w:bCs/>
                <w:sz w:val="17"/>
                <w:szCs w:val="17"/>
                <w:bdr w:val="none" w:sz="0" w:space="0" w:color="auto" w:frame="1"/>
                <w:lang w:eastAsia="uk-UA"/>
              </w:rPr>
              <w:t>Розрахунок середньої зарплати для</w:t>
            </w:r>
          </w:p>
        </w:tc>
      </w:tr>
      <w:tr w:rsidR="009509A1" w:rsidRPr="009509A1" w:rsidTr="0094400D">
        <w:trPr>
          <w:tblHeader/>
        </w:trPr>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9509A1"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b/>
                <w:bCs/>
                <w:sz w:val="17"/>
                <w:szCs w:val="17"/>
                <w:lang w:eastAsia="uk-UA"/>
              </w:rPr>
            </w:pPr>
          </w:p>
        </w:tc>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9509A1"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b/>
                <w:bCs/>
                <w:sz w:val="17"/>
                <w:szCs w:val="17"/>
                <w:lang w:eastAsia="uk-UA"/>
              </w:rPr>
            </w:pPr>
          </w:p>
        </w:tc>
        <w:tc>
          <w:tcPr>
            <w:tcW w:w="121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hideMark/>
          </w:tcPr>
          <w:p w:rsidR="00816579" w:rsidRPr="009509A1"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336" w:lineRule="atLeast"/>
              <w:jc w:val="center"/>
              <w:textAlignment w:val="baseline"/>
              <w:rPr>
                <w:rFonts w:ascii="Arial" w:eastAsia="Times New Roman" w:hAnsi="Arial" w:cs="Arial"/>
                <w:b/>
                <w:bCs/>
                <w:sz w:val="17"/>
                <w:szCs w:val="17"/>
                <w:lang w:eastAsia="uk-UA"/>
              </w:rPr>
            </w:pPr>
            <w:r w:rsidRPr="009509A1">
              <w:rPr>
                <w:rFonts w:ascii="Arial" w:eastAsia="Times New Roman" w:hAnsi="Arial" w:cs="Arial"/>
                <w:b/>
                <w:bCs/>
                <w:sz w:val="17"/>
                <w:szCs w:val="17"/>
                <w:bdr w:val="none" w:sz="0" w:space="0" w:color="auto" w:frame="1"/>
                <w:lang w:eastAsia="uk-UA"/>
              </w:rPr>
              <w:t>відпускних</w:t>
            </w:r>
          </w:p>
        </w:tc>
        <w:tc>
          <w:tcPr>
            <w:tcW w:w="1266"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hideMark/>
          </w:tcPr>
          <w:p w:rsidR="00816579" w:rsidRPr="009509A1"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336" w:lineRule="atLeast"/>
              <w:jc w:val="center"/>
              <w:textAlignment w:val="baseline"/>
              <w:rPr>
                <w:rFonts w:ascii="Arial" w:eastAsia="Times New Roman" w:hAnsi="Arial" w:cs="Arial"/>
                <w:b/>
                <w:bCs/>
                <w:sz w:val="17"/>
                <w:szCs w:val="17"/>
                <w:lang w:eastAsia="uk-UA"/>
              </w:rPr>
            </w:pPr>
            <w:proofErr w:type="spellStart"/>
            <w:r w:rsidRPr="009509A1">
              <w:rPr>
                <w:rFonts w:ascii="Arial" w:eastAsia="Times New Roman" w:hAnsi="Arial" w:cs="Arial"/>
                <w:b/>
                <w:bCs/>
                <w:sz w:val="17"/>
                <w:szCs w:val="17"/>
                <w:bdr w:val="none" w:sz="0" w:space="0" w:color="auto" w:frame="1"/>
                <w:lang w:eastAsia="uk-UA"/>
              </w:rPr>
              <w:t>відряджень</w:t>
            </w:r>
            <w:proofErr w:type="spellEnd"/>
          </w:p>
        </w:tc>
        <w:tc>
          <w:tcPr>
            <w:tcW w:w="121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hideMark/>
          </w:tcPr>
          <w:p w:rsidR="00816579" w:rsidRPr="009509A1"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336" w:lineRule="atLeast"/>
              <w:jc w:val="center"/>
              <w:textAlignment w:val="baseline"/>
              <w:rPr>
                <w:rFonts w:ascii="Arial" w:eastAsia="Times New Roman" w:hAnsi="Arial" w:cs="Arial"/>
                <w:b/>
                <w:bCs/>
                <w:sz w:val="17"/>
                <w:szCs w:val="17"/>
                <w:lang w:eastAsia="uk-UA"/>
              </w:rPr>
            </w:pPr>
            <w:r w:rsidRPr="009509A1">
              <w:rPr>
                <w:rFonts w:ascii="Arial" w:eastAsia="Times New Roman" w:hAnsi="Arial" w:cs="Arial"/>
                <w:b/>
                <w:bCs/>
                <w:sz w:val="17"/>
                <w:szCs w:val="17"/>
                <w:bdr w:val="none" w:sz="0" w:space="0" w:color="auto" w:frame="1"/>
                <w:lang w:eastAsia="uk-UA"/>
              </w:rPr>
              <w:t>лікарняних</w:t>
            </w:r>
          </w:p>
        </w:tc>
        <w:tc>
          <w:tcPr>
            <w:tcW w:w="1141"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hideMark/>
          </w:tcPr>
          <w:p w:rsidR="00816579" w:rsidRPr="009509A1"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336" w:lineRule="atLeast"/>
              <w:jc w:val="center"/>
              <w:textAlignment w:val="baseline"/>
              <w:rPr>
                <w:rFonts w:ascii="Arial" w:eastAsia="Times New Roman" w:hAnsi="Arial" w:cs="Arial"/>
                <w:b/>
                <w:bCs/>
                <w:sz w:val="17"/>
                <w:szCs w:val="17"/>
                <w:lang w:eastAsia="uk-UA"/>
              </w:rPr>
            </w:pPr>
            <w:r w:rsidRPr="009509A1">
              <w:rPr>
                <w:rFonts w:ascii="Arial" w:eastAsia="Times New Roman" w:hAnsi="Arial" w:cs="Arial"/>
                <w:b/>
                <w:bCs/>
                <w:sz w:val="17"/>
                <w:szCs w:val="17"/>
                <w:bdr w:val="none" w:sz="0" w:space="0" w:color="auto" w:frame="1"/>
                <w:lang w:eastAsia="uk-UA"/>
              </w:rPr>
              <w:t>декретних</w:t>
            </w:r>
          </w:p>
        </w:tc>
      </w:tr>
      <w:tr w:rsidR="009509A1" w:rsidRPr="009509A1"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9509A1"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jc w:val="center"/>
              <w:textAlignment w:val="baseline"/>
              <w:rPr>
                <w:rFonts w:ascii="Arial" w:eastAsia="Times New Roman" w:hAnsi="Arial" w:cs="Arial"/>
                <w:sz w:val="18"/>
                <w:szCs w:val="18"/>
                <w:lang w:eastAsia="uk-UA"/>
              </w:rPr>
            </w:pPr>
            <w:r w:rsidRPr="009509A1">
              <w:rPr>
                <w:rFonts w:ascii="Arial" w:eastAsia="Times New Roman" w:hAnsi="Arial" w:cs="Arial"/>
                <w:b/>
                <w:bCs/>
                <w:sz w:val="18"/>
                <w:szCs w:val="18"/>
                <w:bdr w:val="none" w:sz="0" w:space="0" w:color="auto" w:frame="1"/>
                <w:lang w:eastAsia="uk-UA"/>
              </w:rPr>
              <w:t>1. ФОНД ОПЛАТИ ПРАЦІ</w:t>
            </w:r>
          </w:p>
        </w:tc>
      </w:tr>
      <w:tr w:rsidR="009509A1" w:rsidRPr="009509A1"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9509A1"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jc w:val="center"/>
              <w:textAlignment w:val="baseline"/>
              <w:rPr>
                <w:rFonts w:ascii="Arial" w:eastAsia="Times New Roman" w:hAnsi="Arial" w:cs="Arial"/>
                <w:sz w:val="18"/>
                <w:szCs w:val="18"/>
                <w:lang w:eastAsia="uk-UA"/>
              </w:rPr>
            </w:pPr>
            <w:r w:rsidRPr="009509A1">
              <w:rPr>
                <w:rFonts w:ascii="Arial" w:eastAsia="Times New Roman" w:hAnsi="Arial" w:cs="Arial"/>
                <w:b/>
                <w:bCs/>
                <w:sz w:val="18"/>
                <w:szCs w:val="18"/>
                <w:bdr w:val="none" w:sz="0" w:space="0" w:color="auto" w:frame="1"/>
                <w:lang w:eastAsia="uk-UA"/>
              </w:rPr>
              <w:t>1.1. Фонд основної заробітної плати</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2.1.1</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Винагороди за виконану роботу відповідно до встановлених норм праці за тарифними ставками (окладами), відрядними розцінками робітників та посадовими окладами керівників, фахівців, технічних службовців, включаючи в повному обсязі внутрішнє сумісництво</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2.1.2</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Суми відсоткових або комісійних нарахувань залежно від обсягу доходів (виручки), отриманих від реалізації продукції (робіт, послуг), у разі, якщо вони є основною заробітною платою</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vMerge w:val="restart"/>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2.1.3</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Гонорар штатним працівникам редакцій газет, журналів, інших засобів масової інформації, видавництв, установ мистецтва, що нараховується за ставками (розцінками) авторської (постановочної) винагороди, нарахованої на даному підприємстві</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Pr="00816579">
              <w:rPr>
                <w:rFonts w:ascii="Arial" w:eastAsia="Times New Roman" w:hAnsi="Arial" w:cs="Arial"/>
                <w:sz w:val="18"/>
                <w:szCs w:val="18"/>
                <w:vertAlign w:val="superscript"/>
                <w:lang w:eastAsia="uk-UA"/>
              </w:rPr>
              <w:t>1</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Pr="00816579">
              <w:rPr>
                <w:rFonts w:ascii="Arial" w:eastAsia="Times New Roman" w:hAnsi="Arial" w:cs="Arial"/>
                <w:sz w:val="18"/>
                <w:szCs w:val="18"/>
                <w:vertAlign w:val="superscript"/>
                <w:lang w:eastAsia="uk-UA"/>
              </w:rPr>
              <w:t>1</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праці штатним працівникам редакцій газет, журналів, інших засобів масової інформації, видавництв, установ мистецтва</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jc w:val="center"/>
              <w:rPr>
                <w:rFonts w:ascii="Arial" w:eastAsia="Times New Roman" w:hAnsi="Arial" w:cs="Arial"/>
                <w:sz w:val="18"/>
                <w:szCs w:val="18"/>
                <w:lang w:eastAsia="uk-UA"/>
              </w:rPr>
            </w:pPr>
            <w:r w:rsidRPr="00816579">
              <w:rPr>
                <w:rFonts w:ascii="Arial" w:eastAsia="Times New Roman" w:hAnsi="Arial" w:cs="Arial"/>
                <w:sz w:val="18"/>
                <w:szCs w:val="18"/>
                <w:lang w:eastAsia="uk-UA"/>
              </w:rPr>
              <w:t> +</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jc w:val="center"/>
              <w:rPr>
                <w:rFonts w:ascii="Arial" w:eastAsia="Times New Roman" w:hAnsi="Arial" w:cs="Arial"/>
                <w:sz w:val="18"/>
                <w:szCs w:val="18"/>
                <w:lang w:eastAsia="uk-UA"/>
              </w:rPr>
            </w:pPr>
            <w:r w:rsidRPr="00816579">
              <w:rPr>
                <w:rFonts w:ascii="Arial" w:eastAsia="Times New Roman" w:hAnsi="Arial" w:cs="Arial"/>
                <w:sz w:val="18"/>
                <w:szCs w:val="18"/>
                <w:lang w:eastAsia="uk-UA"/>
              </w:rPr>
              <w:t> +</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jc w:val="center"/>
              <w:rPr>
                <w:rFonts w:ascii="Arial" w:eastAsia="Times New Roman" w:hAnsi="Arial" w:cs="Arial"/>
                <w:sz w:val="18"/>
                <w:szCs w:val="18"/>
                <w:lang w:eastAsia="uk-UA"/>
              </w:rPr>
            </w:pPr>
            <w:r w:rsidRPr="00816579">
              <w:rPr>
                <w:rFonts w:ascii="Arial" w:eastAsia="Times New Roman" w:hAnsi="Arial" w:cs="Arial"/>
                <w:sz w:val="18"/>
                <w:szCs w:val="18"/>
                <w:lang w:eastAsia="uk-UA"/>
              </w:rPr>
              <w:t> +</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jc w:val="center"/>
              <w:rPr>
                <w:rFonts w:ascii="Arial" w:eastAsia="Times New Roman" w:hAnsi="Arial" w:cs="Arial"/>
                <w:sz w:val="18"/>
                <w:szCs w:val="18"/>
                <w:lang w:eastAsia="uk-UA"/>
              </w:rPr>
            </w:pPr>
            <w:r w:rsidRPr="00816579">
              <w:rPr>
                <w:rFonts w:ascii="Arial" w:eastAsia="Times New Roman" w:hAnsi="Arial" w:cs="Arial"/>
                <w:sz w:val="18"/>
                <w:szCs w:val="18"/>
                <w:lang w:eastAsia="uk-UA"/>
              </w:rPr>
              <w:t> +</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vertAlign w:val="superscript"/>
                <w:lang w:eastAsia="uk-UA"/>
              </w:rPr>
              <w:t>1</w:t>
            </w:r>
            <w:r w:rsidRPr="00816579">
              <w:rPr>
                <w:rFonts w:ascii="Arial" w:eastAsia="Times New Roman" w:hAnsi="Arial" w:cs="Arial"/>
                <w:sz w:val="18"/>
                <w:szCs w:val="18"/>
                <w:lang w:eastAsia="uk-UA"/>
              </w:rPr>
              <w:t> </w:t>
            </w:r>
            <w:r w:rsidRPr="00816579">
              <w:rPr>
                <w:rFonts w:ascii="Arial" w:eastAsia="Times New Roman" w:hAnsi="Arial" w:cs="Arial"/>
                <w:i/>
                <w:iCs/>
                <w:sz w:val="18"/>
                <w:szCs w:val="18"/>
                <w:bdr w:val="none" w:sz="0" w:space="0" w:color="auto" w:frame="1"/>
                <w:lang w:eastAsia="uk-UA"/>
              </w:rPr>
              <w:t>Літературний гонорар штатним працівникам газет і журналів, що сплачується за авторським договором, не враховується під час обчислення середньої заробітної плати у цих випадках (</w:t>
            </w:r>
            <w:proofErr w:type="spellStart"/>
            <w:r w:rsidRPr="00816579">
              <w:rPr>
                <w:rFonts w:ascii="Arial" w:eastAsia="Times New Roman" w:hAnsi="Arial" w:cs="Arial"/>
                <w:i/>
                <w:iCs/>
                <w:sz w:val="18"/>
                <w:szCs w:val="18"/>
                <w:bdr w:val="none" w:sz="0" w:space="0" w:color="auto" w:frame="1"/>
                <w:lang w:eastAsia="uk-UA"/>
              </w:rPr>
              <w:t>пп</w:t>
            </w:r>
            <w:proofErr w:type="spellEnd"/>
            <w:r w:rsidRPr="00816579">
              <w:rPr>
                <w:rFonts w:ascii="Arial" w:eastAsia="Times New Roman" w:hAnsi="Arial" w:cs="Arial"/>
                <w:i/>
                <w:iCs/>
                <w:sz w:val="18"/>
                <w:szCs w:val="18"/>
                <w:bdr w:val="none" w:sz="0" w:space="0" w:color="auto" w:frame="1"/>
                <w:lang w:eastAsia="uk-UA"/>
              </w:rPr>
              <w:t>. «є» п. 4</w:t>
            </w:r>
            <w:r w:rsidR="009509A1">
              <w:rPr>
                <w:rFonts w:ascii="Arial" w:eastAsia="Times New Roman" w:hAnsi="Arial" w:cs="Arial"/>
                <w:i/>
                <w:iCs/>
                <w:sz w:val="18"/>
                <w:szCs w:val="18"/>
                <w:bdr w:val="none" w:sz="0" w:space="0" w:color="auto" w:frame="1"/>
                <w:lang w:val="ru-RU" w:eastAsia="uk-UA"/>
              </w:rPr>
              <w:t xml:space="preserve"> Порядку № 100</w:t>
            </w:r>
            <w:r w:rsidRPr="00816579">
              <w:rPr>
                <w:rFonts w:ascii="Arial" w:eastAsia="Times New Roman" w:hAnsi="Arial" w:cs="Arial"/>
                <w:i/>
                <w:iCs/>
                <w:sz w:val="18"/>
                <w:szCs w:val="18"/>
                <w:bdr w:val="none" w:sz="0" w:space="0" w:color="auto" w:frame="1"/>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2.1.4</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Оплата при переведенні працівника на </w:t>
            </w:r>
            <w:r w:rsidR="009509A1" w:rsidRPr="00816579">
              <w:rPr>
                <w:rFonts w:ascii="Arial" w:eastAsia="Times New Roman" w:hAnsi="Arial" w:cs="Arial"/>
                <w:sz w:val="18"/>
                <w:szCs w:val="18"/>
                <w:lang w:eastAsia="uk-UA"/>
              </w:rPr>
              <w:t>нижче оплачувану</w:t>
            </w:r>
            <w:r w:rsidRPr="00816579">
              <w:rPr>
                <w:rFonts w:ascii="Arial" w:eastAsia="Times New Roman" w:hAnsi="Arial" w:cs="Arial"/>
                <w:sz w:val="18"/>
                <w:szCs w:val="18"/>
                <w:lang w:eastAsia="uk-UA"/>
              </w:rPr>
              <w:t xml:space="preserve"> роботу у випадках і розмірах, передбачених чинним законодавством, а також у разі невиконання норм виробітку та виготовлення продукції, що виявилася браком не з вини </w:t>
            </w:r>
            <w:r w:rsidRPr="00816579">
              <w:rPr>
                <w:rFonts w:ascii="Arial" w:eastAsia="Times New Roman" w:hAnsi="Arial" w:cs="Arial"/>
                <w:sz w:val="18"/>
                <w:szCs w:val="18"/>
                <w:lang w:eastAsia="uk-UA"/>
              </w:rPr>
              <w:lastRenderedPageBreak/>
              <w:t>працівника</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lastRenderedPageBreak/>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2.1.5</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роботи висококваліфікованих працівників, залучених для підготовки, перепідготовки та підвищення кваліфікації працівників</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2.1.6</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праці за час перебування у відрядженні (окрім відшкодування витрат у зв'язку з відрядженням: добових, вартості проїзду, витрат на наймання житлового приміщення)</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A037C6"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2.1.7</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Вартість продукції, виданої працівникам при натуральній формі оплати праці</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2.1.8</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праці (включаючи гонорари) особам, які не перебувають у штаті підприємства, за виконання робіт згідно з договорами цивільно-правового характеру</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b/>
                <w:bCs/>
                <w:sz w:val="18"/>
                <w:szCs w:val="18"/>
                <w:bdr w:val="none" w:sz="0" w:space="0" w:color="auto" w:frame="1"/>
                <w:lang w:eastAsia="uk-UA"/>
              </w:rPr>
              <w:t>1.2. Фонд додаткової заробітної плати</w:t>
            </w:r>
          </w:p>
        </w:tc>
      </w:tr>
      <w:tr w:rsidR="00816579" w:rsidRPr="00082C73" w:rsidTr="0094400D">
        <w:tc>
          <w:tcPr>
            <w:tcW w:w="1408" w:type="dxa"/>
            <w:vMerge w:val="restart"/>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2.2.1</w:t>
            </w:r>
          </w:p>
        </w:tc>
        <w:tc>
          <w:tcPr>
            <w:tcW w:w="8471" w:type="dxa"/>
            <w:gridSpan w:val="5"/>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94400D">
              <w:rPr>
                <w:rFonts w:ascii="Arial" w:eastAsia="Times New Roman" w:hAnsi="Arial" w:cs="Arial"/>
                <w:sz w:val="18"/>
                <w:szCs w:val="18"/>
                <w:bdr w:val="none" w:sz="0" w:space="0" w:color="auto" w:frame="1"/>
                <w:lang w:eastAsia="uk-UA"/>
              </w:rPr>
              <w:t>Надбавки та доплати до тарифних ставок</w:t>
            </w:r>
            <w:r w:rsidRPr="00816579">
              <w:rPr>
                <w:rFonts w:ascii="Arial" w:eastAsia="Times New Roman" w:hAnsi="Arial" w:cs="Arial"/>
                <w:sz w:val="18"/>
                <w:szCs w:val="18"/>
                <w:lang w:eastAsia="uk-UA"/>
              </w:rPr>
              <w:t> (окладів, посадових окладів) у розмірах, передбачених чинним законодавством, за:</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суміщення професій (посад)</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розширення зони обслуговування або збільшення обсягу робіт</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виконання обов'язків тимчасово відсутнього працівника</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роботу у важких і шкідливих та особливо важких і особливо шкідливих умовах праці</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інтенсивність праці</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роботу в нічний час</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керівництво бригадою</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високу професійну майстерність</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класність водіям (машиністам) транспортних засобів</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високі досягнення в праці, у тому </w:t>
            </w:r>
            <w:r w:rsidRPr="00816579">
              <w:rPr>
                <w:rFonts w:ascii="Arial" w:eastAsia="Times New Roman" w:hAnsi="Arial" w:cs="Arial"/>
                <w:sz w:val="18"/>
                <w:szCs w:val="18"/>
                <w:lang w:eastAsia="uk-UA"/>
              </w:rPr>
              <w:lastRenderedPageBreak/>
              <w:t>числі державним службовцям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lastRenderedPageBreak/>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виконання особливо важливої роботи на певний термін</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2</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2</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знання та використання в роботі іноземної мови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допуск до державної таємниці</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дипломатичні ранги, персональні звання службових осіб, ранги </w:t>
            </w:r>
            <w:r w:rsidRPr="00816579">
              <w:rPr>
                <w:rFonts w:ascii="Arial" w:eastAsia="Times New Roman" w:hAnsi="Arial" w:cs="Arial"/>
                <w:sz w:val="18"/>
                <w:szCs w:val="18"/>
                <w:lang w:eastAsia="uk-UA"/>
              </w:rPr>
              <w:br/>
              <w:t>державних службовців, кваліфікаційні класи суддів</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науковий ступінь</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нормативний час пересування у шахті (руднику) від ствола до місця роботи і назад працівникам, постійно зайнятим на підземних роботах</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роботу на територіях радіоактивного забруднення</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інші надбавки та доплати, включаючи компенсацію працівникам втрати частини заробітної плати у зв'язку з порушенням термінів її виплати, передбачені чинним законодавством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Pr>
                <w:rFonts w:ascii="Arial" w:eastAsia="Times New Roman" w:hAnsi="Arial" w:cs="Arial"/>
                <w:sz w:val="18"/>
                <w:szCs w:val="18"/>
                <w:vertAlign w:val="superscript"/>
                <w:lang w:eastAsia="uk-UA"/>
              </w:rPr>
              <w:t>2</w:t>
            </w:r>
            <w:r w:rsidR="00816579" w:rsidRPr="00816579">
              <w:rPr>
                <w:rFonts w:ascii="Arial" w:eastAsia="Times New Roman" w:hAnsi="Arial" w:cs="Arial"/>
                <w:sz w:val="18"/>
                <w:szCs w:val="18"/>
                <w:vertAlign w:val="superscript"/>
                <w:lang w:eastAsia="uk-UA"/>
              </w:rPr>
              <w:t> </w:t>
            </w:r>
            <w:r w:rsidR="00816579" w:rsidRPr="00816579">
              <w:rPr>
                <w:rFonts w:ascii="Arial" w:eastAsia="Times New Roman" w:hAnsi="Arial" w:cs="Arial"/>
                <w:i/>
                <w:iCs/>
                <w:sz w:val="18"/>
                <w:szCs w:val="18"/>
                <w:bdr w:val="none" w:sz="0" w:space="0" w:color="auto" w:frame="1"/>
                <w:lang w:eastAsia="uk-UA"/>
              </w:rPr>
              <w:t>При обчисленні середньої заробітної плати не враховуються виплати за виконання окремих доручень (одноразового характеру), що не входять в обов'язки працівника (</w:t>
            </w:r>
            <w:proofErr w:type="spellStart"/>
            <w:r w:rsidR="00816579" w:rsidRPr="00816579">
              <w:rPr>
                <w:rFonts w:ascii="Arial" w:eastAsia="Times New Roman" w:hAnsi="Arial" w:cs="Arial"/>
                <w:i/>
                <w:iCs/>
                <w:sz w:val="18"/>
                <w:szCs w:val="18"/>
                <w:bdr w:val="none" w:sz="0" w:space="0" w:color="auto" w:frame="1"/>
                <w:lang w:eastAsia="uk-UA"/>
              </w:rPr>
              <w:t>пп</w:t>
            </w:r>
            <w:proofErr w:type="spellEnd"/>
            <w:r w:rsidR="00816579" w:rsidRPr="00816579">
              <w:rPr>
                <w:rFonts w:ascii="Arial" w:eastAsia="Times New Roman" w:hAnsi="Arial" w:cs="Arial"/>
                <w:i/>
                <w:iCs/>
                <w:sz w:val="18"/>
                <w:szCs w:val="18"/>
                <w:bdr w:val="none" w:sz="0" w:space="0" w:color="auto" w:frame="1"/>
                <w:lang w:eastAsia="uk-UA"/>
              </w:rPr>
              <w:t>. «а» п.4</w:t>
            </w:r>
            <w:r w:rsidR="009509A1">
              <w:rPr>
                <w:rFonts w:ascii="Arial" w:eastAsia="Times New Roman" w:hAnsi="Arial" w:cs="Arial"/>
                <w:i/>
                <w:iCs/>
                <w:sz w:val="18"/>
                <w:szCs w:val="18"/>
                <w:bdr w:val="none" w:sz="0" w:space="0" w:color="auto" w:frame="1"/>
                <w:lang w:val="ru-RU" w:eastAsia="uk-UA"/>
              </w:rPr>
              <w:t xml:space="preserve"> Порядку № 100</w:t>
            </w:r>
            <w:r w:rsidR="00816579" w:rsidRPr="00816579">
              <w:rPr>
                <w:rFonts w:ascii="Arial" w:eastAsia="Times New Roman" w:hAnsi="Arial" w:cs="Arial"/>
                <w:i/>
                <w:iCs/>
                <w:sz w:val="18"/>
                <w:szCs w:val="18"/>
                <w:bdr w:val="none" w:sz="0" w:space="0" w:color="auto" w:frame="1"/>
                <w:lang w:eastAsia="uk-UA"/>
              </w:rPr>
              <w:t>). Тому зазначені виплати враховуються в розрахунку за умови, що вони не є одноразовими, та нараховуються за виконання роботи, яка входить до кола обов'язків найманої особи.</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2.2.2</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Премії та винагороди, у тому числі за вислугу років, що мають систематичний характер, незалежно від джерел фінансування (крім сум, указаних у </w:t>
            </w:r>
            <w:proofErr w:type="spellStart"/>
            <w:r w:rsidRPr="00816579">
              <w:rPr>
                <w:rFonts w:ascii="Arial" w:eastAsia="Times New Roman" w:hAnsi="Arial" w:cs="Arial"/>
                <w:sz w:val="18"/>
                <w:szCs w:val="18"/>
                <w:lang w:eastAsia="uk-UA"/>
              </w:rPr>
              <w:t>пп</w:t>
            </w:r>
            <w:proofErr w:type="spellEnd"/>
            <w:r w:rsidRPr="00816579">
              <w:rPr>
                <w:rFonts w:ascii="Arial" w:eastAsia="Times New Roman" w:hAnsi="Arial" w:cs="Arial"/>
                <w:sz w:val="18"/>
                <w:szCs w:val="18"/>
                <w:lang w:eastAsia="uk-UA"/>
              </w:rPr>
              <w:t>. 2.3.2</w:t>
            </w:r>
            <w:r w:rsidR="009509A1">
              <w:rPr>
                <w:rFonts w:ascii="Arial" w:eastAsia="Times New Roman" w:hAnsi="Arial" w:cs="Arial"/>
                <w:sz w:val="18"/>
                <w:szCs w:val="18"/>
                <w:lang w:val="ru-RU" w:eastAsia="uk-UA"/>
              </w:rPr>
              <w:t xml:space="preserve"> </w:t>
            </w:r>
            <w:r w:rsidR="009509A1">
              <w:rPr>
                <w:rFonts w:ascii="Arial" w:eastAsia="Times New Roman" w:hAnsi="Arial" w:cs="Arial"/>
                <w:sz w:val="18"/>
                <w:szCs w:val="18"/>
                <w:lang w:eastAsia="uk-UA"/>
              </w:rPr>
              <w:t>Інструкції № 5</w:t>
            </w:r>
            <w:r w:rsidRPr="00816579">
              <w:rPr>
                <w:rFonts w:ascii="Arial" w:eastAsia="Times New Roman" w:hAnsi="Arial" w:cs="Arial"/>
                <w:sz w:val="18"/>
                <w:szCs w:val="18"/>
                <w:lang w:eastAsia="uk-UA"/>
              </w:rPr>
              <w:t>)</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3</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4</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9509A1"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i/>
                <w:iCs/>
                <w:sz w:val="18"/>
                <w:szCs w:val="18"/>
                <w:bdr w:val="none" w:sz="0" w:space="0" w:color="auto" w:frame="1"/>
                <w:lang w:eastAsia="uk-UA"/>
              </w:rPr>
            </w:pPr>
            <w:r>
              <w:rPr>
                <w:rFonts w:ascii="Arial" w:eastAsia="Times New Roman" w:hAnsi="Arial" w:cs="Arial"/>
                <w:sz w:val="18"/>
                <w:szCs w:val="18"/>
                <w:vertAlign w:val="superscript"/>
                <w:lang w:eastAsia="uk-UA"/>
              </w:rPr>
              <w:t>3</w:t>
            </w:r>
            <w:r w:rsidR="00816579" w:rsidRPr="00816579">
              <w:rPr>
                <w:rFonts w:ascii="Arial" w:eastAsia="Times New Roman" w:hAnsi="Arial" w:cs="Arial"/>
                <w:sz w:val="18"/>
                <w:szCs w:val="18"/>
                <w:lang w:eastAsia="uk-UA"/>
              </w:rPr>
              <w:t> </w:t>
            </w:r>
            <w:r w:rsidR="00816579" w:rsidRPr="00816579">
              <w:rPr>
                <w:rFonts w:ascii="Arial" w:eastAsia="Times New Roman" w:hAnsi="Arial" w:cs="Arial"/>
                <w:i/>
                <w:iCs/>
                <w:sz w:val="18"/>
                <w:szCs w:val="18"/>
                <w:bdr w:val="none" w:sz="0" w:space="0" w:color="auto" w:frame="1"/>
                <w:lang w:eastAsia="uk-UA"/>
              </w:rPr>
              <w:t>При обчисленні середньої заробітної плати враховуються виробничі премії та премії за економію конкретних видів палива, електроенергії і теплової енергії; винагорода за підсумками річної роботи та вислугу років тощо. Премії включаються в заробіток того місяця, на який вони припадають згідно з розрахунковою відомістю на заробітну плату</w:t>
            </w:r>
          </w:p>
          <w:p w:rsidR="00816579" w:rsidRPr="00816579"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Pr>
                <w:rFonts w:ascii="Arial" w:eastAsia="Times New Roman" w:hAnsi="Arial" w:cs="Arial"/>
                <w:sz w:val="18"/>
                <w:szCs w:val="18"/>
                <w:vertAlign w:val="superscript"/>
                <w:lang w:eastAsia="uk-UA"/>
              </w:rPr>
              <w:t>4</w:t>
            </w:r>
            <w:r w:rsidR="00816579" w:rsidRPr="00816579">
              <w:rPr>
                <w:rFonts w:ascii="Arial" w:eastAsia="Times New Roman" w:hAnsi="Arial" w:cs="Arial"/>
                <w:sz w:val="18"/>
                <w:szCs w:val="18"/>
                <w:lang w:eastAsia="uk-UA"/>
              </w:rPr>
              <w:t> </w:t>
            </w:r>
            <w:r w:rsidR="00816579" w:rsidRPr="00816579">
              <w:rPr>
                <w:rFonts w:ascii="Arial" w:eastAsia="Times New Roman" w:hAnsi="Arial" w:cs="Arial"/>
                <w:i/>
                <w:iCs/>
                <w:sz w:val="18"/>
                <w:szCs w:val="18"/>
                <w:bdr w:val="none" w:sz="0" w:space="0" w:color="auto" w:frame="1"/>
                <w:lang w:eastAsia="uk-UA"/>
              </w:rPr>
              <w:t xml:space="preserve">Премії, які виплачуються за квартал і більш тривалий проміжок часу, включаються в заробіток у частині, </w:t>
            </w:r>
            <w:r w:rsidR="00816579" w:rsidRPr="00816579">
              <w:rPr>
                <w:rFonts w:ascii="Arial" w:eastAsia="Times New Roman" w:hAnsi="Arial" w:cs="Arial"/>
                <w:i/>
                <w:iCs/>
                <w:sz w:val="18"/>
                <w:szCs w:val="18"/>
                <w:bdr w:val="none" w:sz="0" w:space="0" w:color="auto" w:frame="1"/>
                <w:lang w:eastAsia="uk-UA"/>
              </w:rPr>
              <w:lastRenderedPageBreak/>
              <w:t xml:space="preserve">що відповідає кількості місяців у розрахунковому періоді. У разі коли число робочих днів у розрахунковому періоді відпрацьовано не повністю, премії, винагороди та інші заохочувальні виплати враховують </w:t>
            </w:r>
            <w:proofErr w:type="spellStart"/>
            <w:r w:rsidR="00816579" w:rsidRPr="00816579">
              <w:rPr>
                <w:rFonts w:ascii="Arial" w:eastAsia="Times New Roman" w:hAnsi="Arial" w:cs="Arial"/>
                <w:i/>
                <w:iCs/>
                <w:sz w:val="18"/>
                <w:szCs w:val="18"/>
                <w:bdr w:val="none" w:sz="0" w:space="0" w:color="auto" w:frame="1"/>
                <w:lang w:eastAsia="uk-UA"/>
              </w:rPr>
              <w:t>пропорційно</w:t>
            </w:r>
            <w:proofErr w:type="spellEnd"/>
            <w:r w:rsidR="00816579" w:rsidRPr="00816579">
              <w:rPr>
                <w:rFonts w:ascii="Arial" w:eastAsia="Times New Roman" w:hAnsi="Arial" w:cs="Arial"/>
                <w:i/>
                <w:iCs/>
                <w:sz w:val="18"/>
                <w:szCs w:val="18"/>
                <w:bdr w:val="none" w:sz="0" w:space="0" w:color="auto" w:frame="1"/>
                <w:lang w:eastAsia="uk-UA"/>
              </w:rPr>
              <w:t xml:space="preserve"> часу, відпрацьованому в розрахунковому періоді (</w:t>
            </w:r>
            <w:proofErr w:type="spellStart"/>
            <w:r w:rsidR="00816579" w:rsidRPr="00816579">
              <w:rPr>
                <w:rFonts w:ascii="Arial" w:eastAsia="Times New Roman" w:hAnsi="Arial" w:cs="Arial"/>
                <w:i/>
                <w:iCs/>
                <w:sz w:val="18"/>
                <w:szCs w:val="18"/>
                <w:bdr w:val="none" w:sz="0" w:space="0" w:color="auto" w:frame="1"/>
                <w:lang w:eastAsia="uk-UA"/>
              </w:rPr>
              <w:t>абз</w:t>
            </w:r>
            <w:proofErr w:type="spellEnd"/>
            <w:r w:rsidR="00816579" w:rsidRPr="00816579">
              <w:rPr>
                <w:rFonts w:ascii="Arial" w:eastAsia="Times New Roman" w:hAnsi="Arial" w:cs="Arial"/>
                <w:i/>
                <w:iCs/>
                <w:sz w:val="18"/>
                <w:szCs w:val="18"/>
                <w:bdr w:val="none" w:sz="0" w:space="0" w:color="auto" w:frame="1"/>
                <w:lang w:eastAsia="uk-UA"/>
              </w:rPr>
              <w:t>. 1 п. 3</w:t>
            </w:r>
            <w:r w:rsidR="009509A1">
              <w:rPr>
                <w:rFonts w:ascii="Arial" w:eastAsia="Times New Roman" w:hAnsi="Arial" w:cs="Arial"/>
                <w:i/>
                <w:iCs/>
                <w:sz w:val="18"/>
                <w:szCs w:val="18"/>
                <w:bdr w:val="none" w:sz="0" w:space="0" w:color="auto" w:frame="1"/>
                <w:lang w:eastAsia="uk-UA"/>
              </w:rPr>
              <w:t xml:space="preserve"> Порядку № 100</w:t>
            </w:r>
            <w:r w:rsidR="00816579" w:rsidRPr="00816579">
              <w:rPr>
                <w:rFonts w:ascii="Arial" w:eastAsia="Times New Roman" w:hAnsi="Arial" w:cs="Arial"/>
                <w:i/>
                <w:iCs/>
                <w:sz w:val="18"/>
                <w:szCs w:val="18"/>
                <w:bdr w:val="none" w:sz="0" w:space="0" w:color="auto" w:frame="1"/>
                <w:lang w:eastAsia="uk-UA"/>
              </w:rPr>
              <w:t>).</w:t>
            </w:r>
          </w:p>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lastRenderedPageBreak/>
              <w:t>2.2.3</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Відсоткові або комісійні винагороди, виплачені додатково до тарифної ставки (окладу, посадового окладу).</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5</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Pr>
                <w:rFonts w:ascii="Arial" w:eastAsia="Times New Roman" w:hAnsi="Arial" w:cs="Arial"/>
                <w:sz w:val="18"/>
                <w:szCs w:val="18"/>
                <w:vertAlign w:val="superscript"/>
                <w:lang w:eastAsia="uk-UA"/>
              </w:rPr>
              <w:t>5</w:t>
            </w:r>
            <w:r w:rsidR="00816579" w:rsidRPr="00816579">
              <w:rPr>
                <w:rFonts w:ascii="Arial" w:eastAsia="Times New Roman" w:hAnsi="Arial" w:cs="Arial"/>
                <w:sz w:val="18"/>
                <w:szCs w:val="18"/>
                <w:lang w:eastAsia="uk-UA"/>
              </w:rPr>
              <w:t> </w:t>
            </w:r>
            <w:r w:rsidR="00816579" w:rsidRPr="00816579">
              <w:rPr>
                <w:rFonts w:ascii="Arial" w:eastAsia="Times New Roman" w:hAnsi="Arial" w:cs="Arial"/>
                <w:i/>
                <w:iCs/>
                <w:sz w:val="18"/>
                <w:szCs w:val="18"/>
                <w:bdr w:val="none" w:sz="0" w:space="0" w:color="auto" w:frame="1"/>
                <w:lang w:eastAsia="uk-UA"/>
              </w:rPr>
              <w:t>За умови, що такі виплати не мають разового характеру (</w:t>
            </w:r>
            <w:proofErr w:type="spellStart"/>
            <w:r w:rsidR="00816579" w:rsidRPr="00816579">
              <w:rPr>
                <w:rFonts w:ascii="Arial" w:eastAsia="Times New Roman" w:hAnsi="Arial" w:cs="Arial"/>
                <w:i/>
                <w:iCs/>
                <w:sz w:val="18"/>
                <w:szCs w:val="18"/>
                <w:bdr w:val="none" w:sz="0" w:space="0" w:color="auto" w:frame="1"/>
                <w:lang w:eastAsia="uk-UA"/>
              </w:rPr>
              <w:t>пп</w:t>
            </w:r>
            <w:proofErr w:type="spellEnd"/>
            <w:r w:rsidR="00816579" w:rsidRPr="00816579">
              <w:rPr>
                <w:rFonts w:ascii="Arial" w:eastAsia="Times New Roman" w:hAnsi="Arial" w:cs="Arial"/>
                <w:i/>
                <w:iCs/>
                <w:sz w:val="18"/>
                <w:szCs w:val="18"/>
                <w:bdr w:val="none" w:sz="0" w:space="0" w:color="auto" w:frame="1"/>
                <w:lang w:eastAsia="uk-UA"/>
              </w:rPr>
              <w:t>. «а» п.4</w:t>
            </w:r>
            <w:r w:rsidR="009509A1">
              <w:rPr>
                <w:rFonts w:ascii="Arial" w:eastAsia="Times New Roman" w:hAnsi="Arial" w:cs="Arial"/>
                <w:i/>
                <w:iCs/>
                <w:sz w:val="18"/>
                <w:szCs w:val="18"/>
                <w:bdr w:val="none" w:sz="0" w:space="0" w:color="auto" w:frame="1"/>
                <w:lang w:eastAsia="uk-UA"/>
              </w:rPr>
              <w:t xml:space="preserve"> Порядку № 100</w:t>
            </w:r>
            <w:r w:rsidR="00816579" w:rsidRPr="00816579">
              <w:rPr>
                <w:rFonts w:ascii="Arial" w:eastAsia="Times New Roman" w:hAnsi="Arial" w:cs="Arial"/>
                <w:i/>
                <w:iCs/>
                <w:sz w:val="18"/>
                <w:szCs w:val="18"/>
                <w:bdr w:val="none" w:sz="0" w:space="0" w:color="auto" w:frame="1"/>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2.2.4</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роботи в надурочний час і у святкові та неробочі дні в розмірах та за розцінками, установленими чинним законодавством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2.2.5</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днів відпочинку, що надаються у зв'язку з роботою понад нормальну тривалість робочого часу при вахтовому методі організації праці, при підсумованому обліку робочого часу і в інших випадках, передбачених законодавством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6</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Pr>
                <w:rFonts w:ascii="Arial" w:eastAsia="Times New Roman" w:hAnsi="Arial" w:cs="Arial"/>
                <w:sz w:val="18"/>
                <w:szCs w:val="18"/>
                <w:vertAlign w:val="superscript"/>
                <w:lang w:eastAsia="uk-UA"/>
              </w:rPr>
              <w:t>6</w:t>
            </w:r>
            <w:r w:rsidR="00816579" w:rsidRPr="00816579">
              <w:rPr>
                <w:rFonts w:ascii="Arial" w:eastAsia="Times New Roman" w:hAnsi="Arial" w:cs="Arial"/>
                <w:sz w:val="18"/>
                <w:szCs w:val="18"/>
                <w:lang w:eastAsia="uk-UA"/>
              </w:rPr>
              <w:t> </w:t>
            </w:r>
            <w:r w:rsidR="00816579" w:rsidRPr="00816579">
              <w:rPr>
                <w:rFonts w:ascii="Arial" w:eastAsia="Times New Roman" w:hAnsi="Arial" w:cs="Arial"/>
                <w:i/>
                <w:iCs/>
                <w:sz w:val="18"/>
                <w:szCs w:val="18"/>
                <w:bdr w:val="none" w:sz="0" w:space="0" w:color="auto" w:frame="1"/>
                <w:lang w:eastAsia="uk-UA"/>
              </w:rPr>
              <w:t>Якщо розрахунок проводиться виходячи із середнього заробітку, виплати не враховуються (</w:t>
            </w:r>
            <w:proofErr w:type="spellStart"/>
            <w:r w:rsidR="00816579" w:rsidRPr="00816579">
              <w:rPr>
                <w:rFonts w:ascii="Arial" w:eastAsia="Times New Roman" w:hAnsi="Arial" w:cs="Arial"/>
                <w:i/>
                <w:iCs/>
                <w:sz w:val="18"/>
                <w:szCs w:val="18"/>
                <w:bdr w:val="none" w:sz="0" w:space="0" w:color="auto" w:frame="1"/>
                <w:lang w:eastAsia="uk-UA"/>
              </w:rPr>
              <w:t>абз</w:t>
            </w:r>
            <w:proofErr w:type="spellEnd"/>
            <w:r w:rsidR="00816579" w:rsidRPr="00816579">
              <w:rPr>
                <w:rFonts w:ascii="Arial" w:eastAsia="Times New Roman" w:hAnsi="Arial" w:cs="Arial"/>
                <w:i/>
                <w:iCs/>
                <w:sz w:val="18"/>
                <w:szCs w:val="18"/>
                <w:bdr w:val="none" w:sz="0" w:space="0" w:color="auto" w:frame="1"/>
                <w:lang w:eastAsia="uk-UA"/>
              </w:rPr>
              <w:t>. 2 п. 4</w:t>
            </w:r>
            <w:r w:rsidR="009509A1">
              <w:rPr>
                <w:rFonts w:ascii="Arial" w:eastAsia="Times New Roman" w:hAnsi="Arial" w:cs="Arial"/>
                <w:i/>
                <w:iCs/>
                <w:sz w:val="18"/>
                <w:szCs w:val="18"/>
                <w:bdr w:val="none" w:sz="0" w:space="0" w:color="auto" w:frame="1"/>
                <w:lang w:eastAsia="uk-UA"/>
              </w:rPr>
              <w:t xml:space="preserve"> Порядку № 100</w:t>
            </w:r>
            <w:r w:rsidR="00816579" w:rsidRPr="00816579">
              <w:rPr>
                <w:rFonts w:ascii="Arial" w:eastAsia="Times New Roman" w:hAnsi="Arial" w:cs="Arial"/>
                <w:i/>
                <w:iCs/>
                <w:sz w:val="18"/>
                <w:szCs w:val="18"/>
                <w:bdr w:val="none" w:sz="0" w:space="0" w:color="auto" w:frame="1"/>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2.2.6</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Суми, виплачені (при виконанні робіт вахтовим методом) у розмірі тарифної ставки (окладу, посадового окладу) за дні перебування в дорозі до місцезнаходження підприємства (пункту збору) - місця роботи і назад, передбачені графіком роботи на вахті, а також за дні затримки працівників у дорозі через метеорологічні умови та з вини транспортних підприємств</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2.2.7</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Суми виплат, пов'язаних з індексацією заробітної плати працівників (зокрема фіксована сума індексації)</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2.2.8</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Суми компенсації працівникам втрати частини заробітної плати у зв'язку з </w:t>
            </w:r>
            <w:r w:rsidRPr="00816579">
              <w:rPr>
                <w:rFonts w:ascii="Arial" w:eastAsia="Times New Roman" w:hAnsi="Arial" w:cs="Arial"/>
                <w:sz w:val="18"/>
                <w:szCs w:val="18"/>
                <w:lang w:eastAsia="uk-UA"/>
              </w:rPr>
              <w:lastRenderedPageBreak/>
              <w:t>порушенням термінів її виплати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lastRenderedPageBreak/>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vMerge w:val="restart"/>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2.2.9</w:t>
            </w:r>
          </w:p>
        </w:tc>
        <w:tc>
          <w:tcPr>
            <w:tcW w:w="8471" w:type="dxa"/>
            <w:gridSpan w:val="5"/>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Вартість безоплатно наданих окремим категоріям працівників відповідно до законодавства:</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вугілля та суми коштів на відшкодування його оплати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7</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7</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житла, комунальних послуг, послуг зв'язку та суми коштів на відшкодування їхньої оплати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Pr>
                <w:rFonts w:ascii="Arial" w:eastAsia="Times New Roman" w:hAnsi="Arial" w:cs="Arial"/>
                <w:i/>
                <w:iCs/>
                <w:sz w:val="18"/>
                <w:szCs w:val="18"/>
                <w:bdr w:val="none" w:sz="0" w:space="0" w:color="auto" w:frame="1"/>
                <w:vertAlign w:val="superscript"/>
                <w:lang w:eastAsia="uk-UA"/>
              </w:rPr>
              <w:t xml:space="preserve">7 </w:t>
            </w:r>
            <w:r w:rsidR="00816579" w:rsidRPr="00816579">
              <w:rPr>
                <w:rFonts w:ascii="Arial" w:eastAsia="Times New Roman" w:hAnsi="Arial" w:cs="Arial"/>
                <w:i/>
                <w:iCs/>
                <w:sz w:val="18"/>
                <w:szCs w:val="18"/>
                <w:bdr w:val="none" w:sz="0" w:space="0" w:color="auto" w:frame="1"/>
                <w:lang w:eastAsia="uk-UA"/>
              </w:rPr>
              <w:t>Суми, з яких сплачували ЄСВ, включають у розрахунок середньої зарплати, з яких не сплачували, не включають.</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2.2.10</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Витрати, пов'язані з наданням безкоштовного проїзду працівникам залізничного, авіаційного, морського, річкового, автомобільного транспорту та міського електротранспорту</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2.2.11</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Вартість безкоштовно наданого працівникам форменого одягу, обмундирування, що може використовуватися поза робочим місцем та залишається в особистому постійному користуванні, або сума знижки в разі продажу форменого одягу за зниженими цінами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vMerge w:val="restart"/>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2.2.12</w:t>
            </w:r>
          </w:p>
        </w:tc>
        <w:tc>
          <w:tcPr>
            <w:tcW w:w="8471" w:type="dxa"/>
            <w:gridSpan w:val="5"/>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94400D"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94400D">
              <w:rPr>
                <w:rFonts w:ascii="Arial" w:eastAsia="Times New Roman" w:hAnsi="Arial" w:cs="Arial"/>
                <w:sz w:val="18"/>
                <w:szCs w:val="18"/>
                <w:bdr w:val="none" w:sz="0" w:space="0" w:color="auto" w:frame="1"/>
                <w:lang w:eastAsia="uk-UA"/>
              </w:rPr>
              <w:t>Оплата за невідпрацьований час:</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щорічних (основної та додаткових) відпусток та додаткових відпусток працівникам, які мають дітей, у розмірах, передбачених законодавством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8</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суми грошових компенсацій у разі невикористання щорічних (основної та додаткових) відпусток та додаткових відпусток працівникам, які мають дітей, у розмірах, передбачених законодавством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9</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9</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додаткових відпусток (понад тривалість, передбачену законодавством), наданих відповідно до колективного договору</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CB6238">
              <w:rPr>
                <w:rFonts w:ascii="Arial" w:eastAsia="Times New Roman" w:hAnsi="Arial" w:cs="Arial"/>
                <w:sz w:val="18"/>
                <w:szCs w:val="18"/>
                <w:vertAlign w:val="superscript"/>
                <w:lang w:eastAsia="uk-UA"/>
              </w:rPr>
              <w:t>8</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додаткових відпусток у зв'язку з навчанням та творчих відпусток</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8</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додаткових відпусток, що надаються відповідно до Закону України «Про статус і соціальний захист громадян, які постраждали внаслідок Чорнобильської катастрофи»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8</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суми заробітної плати, що зберігаються за основним місцем роботи працівників, за час їхнього навчання з відривом від виробництва в системі підвищення кваліфікації та перепідготовки кадрів</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8</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спеціальної перерви в роботі у випадках, передбачених законодавством, оплата пільгового часу неповнолітнім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8</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працівникам, які залучаються до виконання державних або громадських обов'язків, якщо вони виконуються в робочий час</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8</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працівникам-донорам днів обстеження, здавання крові та відпочинку, що надаються після кожного дня здавання крові, або днів, приєднаних за бажанням працівника до щорічної відпустки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8</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що зберігається за працівником, який підлягає медичному огляду, за основним місцем роботи за час перебування в медичному закладі на обстеженні</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8</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простоїв не з вини працівника</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94400D"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val="en-US"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1</w:t>
            </w:r>
            <w:r w:rsidR="0094400D">
              <w:rPr>
                <w:rFonts w:ascii="Arial" w:eastAsia="Times New Roman" w:hAnsi="Arial" w:cs="Arial"/>
                <w:sz w:val="18"/>
                <w:szCs w:val="18"/>
                <w:vertAlign w:val="superscript"/>
                <w:lang w:val="en-US" w:eastAsia="uk-UA"/>
              </w:rPr>
              <w:t>0</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94400D"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val="en-US"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Pr>
                <w:rFonts w:ascii="Arial" w:eastAsia="Times New Roman" w:hAnsi="Arial" w:cs="Arial"/>
                <w:sz w:val="18"/>
                <w:szCs w:val="18"/>
                <w:vertAlign w:val="superscript"/>
                <w:lang w:eastAsia="uk-UA"/>
              </w:rPr>
              <w:t>8</w:t>
            </w:r>
            <w:r w:rsidR="00816579" w:rsidRPr="00816579">
              <w:rPr>
                <w:rFonts w:ascii="Arial" w:eastAsia="Times New Roman" w:hAnsi="Arial" w:cs="Arial"/>
                <w:sz w:val="18"/>
                <w:szCs w:val="18"/>
                <w:lang w:eastAsia="uk-UA"/>
              </w:rPr>
              <w:t> </w:t>
            </w:r>
            <w:r w:rsidR="00816579" w:rsidRPr="00816579">
              <w:rPr>
                <w:rFonts w:ascii="Arial" w:eastAsia="Times New Roman" w:hAnsi="Arial" w:cs="Arial"/>
                <w:i/>
                <w:iCs/>
                <w:sz w:val="18"/>
                <w:szCs w:val="18"/>
                <w:bdr w:val="none" w:sz="0" w:space="0" w:color="auto" w:frame="1"/>
                <w:lang w:eastAsia="uk-UA"/>
              </w:rPr>
              <w:t xml:space="preserve">На підставі </w:t>
            </w:r>
            <w:proofErr w:type="spellStart"/>
            <w:r w:rsidR="00816579" w:rsidRPr="00816579">
              <w:rPr>
                <w:rFonts w:ascii="Arial" w:eastAsia="Times New Roman" w:hAnsi="Arial" w:cs="Arial"/>
                <w:i/>
                <w:iCs/>
                <w:sz w:val="18"/>
                <w:szCs w:val="18"/>
                <w:bdr w:val="none" w:sz="0" w:space="0" w:color="auto" w:frame="1"/>
                <w:lang w:eastAsia="uk-UA"/>
              </w:rPr>
              <w:t>абз</w:t>
            </w:r>
            <w:proofErr w:type="spellEnd"/>
            <w:r w:rsidR="00816579" w:rsidRPr="00816579">
              <w:rPr>
                <w:rFonts w:ascii="Arial" w:eastAsia="Times New Roman" w:hAnsi="Arial" w:cs="Arial"/>
                <w:i/>
                <w:iCs/>
                <w:sz w:val="18"/>
                <w:szCs w:val="18"/>
                <w:bdr w:val="none" w:sz="0" w:space="0" w:color="auto" w:frame="1"/>
                <w:lang w:eastAsia="uk-UA"/>
              </w:rPr>
              <w:t>. 2 п. 4</w:t>
            </w:r>
            <w:r w:rsidR="009509A1">
              <w:rPr>
                <w:rFonts w:ascii="Arial" w:eastAsia="Times New Roman" w:hAnsi="Arial" w:cs="Arial"/>
                <w:i/>
                <w:iCs/>
                <w:sz w:val="18"/>
                <w:szCs w:val="18"/>
                <w:bdr w:val="none" w:sz="0" w:space="0" w:color="auto" w:frame="1"/>
                <w:lang w:eastAsia="uk-UA"/>
              </w:rPr>
              <w:t xml:space="preserve"> Порядку № 100</w:t>
            </w:r>
          </w:p>
          <w:p w:rsidR="00816579" w:rsidRPr="00816579" w:rsidRDefault="00CB6238"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Pr>
                <w:rFonts w:ascii="Arial" w:eastAsia="Times New Roman" w:hAnsi="Arial" w:cs="Arial"/>
                <w:sz w:val="18"/>
                <w:szCs w:val="18"/>
                <w:vertAlign w:val="superscript"/>
                <w:lang w:eastAsia="uk-UA"/>
              </w:rPr>
              <w:t>9</w:t>
            </w:r>
            <w:r w:rsidR="00816579" w:rsidRPr="00816579">
              <w:rPr>
                <w:rFonts w:ascii="Arial" w:eastAsia="Times New Roman" w:hAnsi="Arial" w:cs="Arial"/>
                <w:sz w:val="18"/>
                <w:szCs w:val="18"/>
                <w:lang w:eastAsia="uk-UA"/>
              </w:rPr>
              <w:t> </w:t>
            </w:r>
            <w:r w:rsidR="00816579" w:rsidRPr="00816579">
              <w:rPr>
                <w:rFonts w:ascii="Arial" w:eastAsia="Times New Roman" w:hAnsi="Arial" w:cs="Arial"/>
                <w:i/>
                <w:iCs/>
                <w:sz w:val="18"/>
                <w:szCs w:val="18"/>
                <w:bdr w:val="none" w:sz="0" w:space="0" w:color="auto" w:frame="1"/>
                <w:lang w:eastAsia="uk-UA"/>
              </w:rPr>
              <w:t xml:space="preserve">На підставі </w:t>
            </w:r>
            <w:proofErr w:type="spellStart"/>
            <w:r w:rsidR="00816579" w:rsidRPr="00816579">
              <w:rPr>
                <w:rFonts w:ascii="Arial" w:eastAsia="Times New Roman" w:hAnsi="Arial" w:cs="Arial"/>
                <w:i/>
                <w:iCs/>
                <w:sz w:val="18"/>
                <w:szCs w:val="18"/>
                <w:bdr w:val="none" w:sz="0" w:space="0" w:color="auto" w:frame="1"/>
                <w:lang w:eastAsia="uk-UA"/>
              </w:rPr>
              <w:t>пп</w:t>
            </w:r>
            <w:proofErr w:type="spellEnd"/>
            <w:r w:rsidR="00816579" w:rsidRPr="00816579">
              <w:rPr>
                <w:rFonts w:ascii="Arial" w:eastAsia="Times New Roman" w:hAnsi="Arial" w:cs="Arial"/>
                <w:i/>
                <w:iCs/>
                <w:sz w:val="18"/>
                <w:szCs w:val="18"/>
                <w:bdr w:val="none" w:sz="0" w:space="0" w:color="auto" w:frame="1"/>
                <w:lang w:eastAsia="uk-UA"/>
              </w:rPr>
              <w:t>. «б» п. 4</w:t>
            </w:r>
            <w:r w:rsidR="009509A1" w:rsidRPr="009509A1">
              <w:rPr>
                <w:rFonts w:ascii="Arial" w:eastAsia="Times New Roman" w:hAnsi="Arial" w:cs="Arial"/>
                <w:i/>
                <w:iCs/>
                <w:sz w:val="18"/>
                <w:szCs w:val="18"/>
                <w:bdr w:val="none" w:sz="0" w:space="0" w:color="auto" w:frame="1"/>
                <w:lang w:val="ru-RU" w:eastAsia="uk-UA"/>
              </w:rPr>
              <w:t xml:space="preserve"> </w:t>
            </w:r>
            <w:r w:rsidR="009509A1">
              <w:rPr>
                <w:rFonts w:ascii="Arial" w:eastAsia="Times New Roman" w:hAnsi="Arial" w:cs="Arial"/>
                <w:i/>
                <w:iCs/>
                <w:sz w:val="18"/>
                <w:szCs w:val="18"/>
                <w:bdr w:val="none" w:sz="0" w:space="0" w:color="auto" w:frame="1"/>
                <w:lang w:eastAsia="uk-UA"/>
              </w:rPr>
              <w:t>Порядку № 100</w:t>
            </w:r>
          </w:p>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vertAlign w:val="superscript"/>
                <w:lang w:eastAsia="uk-UA"/>
              </w:rPr>
              <w:lastRenderedPageBreak/>
              <w:t>1</w:t>
            </w:r>
            <w:r w:rsidR="0094400D" w:rsidRPr="0094400D">
              <w:rPr>
                <w:rFonts w:ascii="Arial" w:eastAsia="Times New Roman" w:hAnsi="Arial" w:cs="Arial"/>
                <w:sz w:val="18"/>
                <w:szCs w:val="18"/>
                <w:vertAlign w:val="superscript"/>
                <w:lang w:val="ru-RU" w:eastAsia="uk-UA"/>
              </w:rPr>
              <w:t>0</w:t>
            </w:r>
            <w:r w:rsidR="00F8043C">
              <w:rPr>
                <w:rFonts w:ascii="Arial" w:eastAsia="Times New Roman" w:hAnsi="Arial" w:cs="Arial"/>
                <w:sz w:val="18"/>
                <w:szCs w:val="18"/>
                <w:vertAlign w:val="superscript"/>
                <w:lang w:eastAsia="uk-UA"/>
              </w:rPr>
              <w:t xml:space="preserve"> </w:t>
            </w:r>
            <w:r w:rsidRPr="00816579">
              <w:rPr>
                <w:rFonts w:ascii="Arial" w:eastAsia="Times New Roman" w:hAnsi="Arial" w:cs="Arial"/>
                <w:i/>
                <w:iCs/>
                <w:sz w:val="18"/>
                <w:szCs w:val="18"/>
                <w:bdr w:val="none" w:sz="0" w:space="0" w:color="auto" w:frame="1"/>
                <w:lang w:eastAsia="uk-UA"/>
              </w:rPr>
              <w:t>Час, протягом якого працівники згідно з чинним законодавством або з інших поважних причин не працювали і за ними не зберігався заробіток або зберігався частково, виключається з розрахункового періоду (</w:t>
            </w:r>
            <w:proofErr w:type="spellStart"/>
            <w:r w:rsidRPr="00816579">
              <w:rPr>
                <w:rFonts w:ascii="Arial" w:eastAsia="Times New Roman" w:hAnsi="Arial" w:cs="Arial"/>
                <w:i/>
                <w:iCs/>
                <w:sz w:val="18"/>
                <w:szCs w:val="18"/>
                <w:bdr w:val="none" w:sz="0" w:space="0" w:color="auto" w:frame="1"/>
                <w:lang w:eastAsia="uk-UA"/>
              </w:rPr>
              <w:t>абз</w:t>
            </w:r>
            <w:proofErr w:type="spellEnd"/>
            <w:r w:rsidRPr="00816579">
              <w:rPr>
                <w:rFonts w:ascii="Arial" w:eastAsia="Times New Roman" w:hAnsi="Arial" w:cs="Arial"/>
                <w:i/>
                <w:iCs/>
                <w:sz w:val="18"/>
                <w:szCs w:val="18"/>
                <w:bdr w:val="none" w:sz="0" w:space="0" w:color="auto" w:frame="1"/>
                <w:lang w:eastAsia="uk-UA"/>
              </w:rPr>
              <w:t>. 6 п. 2</w:t>
            </w:r>
            <w:r w:rsidR="0094400D" w:rsidRPr="0094400D">
              <w:rPr>
                <w:rFonts w:ascii="Arial" w:eastAsia="Times New Roman" w:hAnsi="Arial" w:cs="Arial"/>
                <w:i/>
                <w:iCs/>
                <w:sz w:val="18"/>
                <w:szCs w:val="18"/>
                <w:bdr w:val="none" w:sz="0" w:space="0" w:color="auto" w:frame="1"/>
                <w:lang w:val="ru-RU" w:eastAsia="uk-UA"/>
              </w:rPr>
              <w:t xml:space="preserve"> </w:t>
            </w:r>
            <w:r w:rsidR="0094400D">
              <w:rPr>
                <w:rFonts w:ascii="Arial" w:eastAsia="Times New Roman" w:hAnsi="Arial" w:cs="Arial"/>
                <w:i/>
                <w:iCs/>
                <w:sz w:val="18"/>
                <w:szCs w:val="18"/>
                <w:bdr w:val="none" w:sz="0" w:space="0" w:color="auto" w:frame="1"/>
                <w:lang w:eastAsia="uk-UA"/>
              </w:rPr>
              <w:t>Порядку № 100</w:t>
            </w:r>
            <w:r w:rsidRPr="00816579">
              <w:rPr>
                <w:rFonts w:ascii="Arial" w:eastAsia="Times New Roman" w:hAnsi="Arial" w:cs="Arial"/>
                <w:i/>
                <w:iCs/>
                <w:sz w:val="18"/>
                <w:szCs w:val="18"/>
                <w:bdr w:val="none" w:sz="0" w:space="0" w:color="auto" w:frame="1"/>
                <w:lang w:eastAsia="uk-UA"/>
              </w:rPr>
              <w:t xml:space="preserve">). </w:t>
            </w:r>
            <w:r w:rsidR="0094400D" w:rsidRPr="00816579">
              <w:rPr>
                <w:rFonts w:ascii="Arial" w:eastAsia="Times New Roman" w:hAnsi="Arial" w:cs="Arial"/>
                <w:sz w:val="18"/>
                <w:szCs w:val="18"/>
                <w:lang w:eastAsia="uk-UA"/>
              </w:rPr>
              <w:t xml:space="preserve"> </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b/>
                <w:bCs/>
                <w:sz w:val="18"/>
                <w:szCs w:val="18"/>
                <w:bdr w:val="none" w:sz="0" w:space="0" w:color="auto" w:frame="1"/>
                <w:lang w:eastAsia="uk-UA"/>
              </w:rPr>
              <w:lastRenderedPageBreak/>
              <w:t>1.3. Інші заохочувальні та компенсаційні виплати</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2.3.1</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Нарахування за невідпрацьований час, не передбачені чинним законодавством, зокрема працівникам, які вимушено працювали скорочений робочий час та перебували у відпустках з ініціативи адміністрації (крім допомоги по частковому безробіттю), брали участь у страйках</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94400D"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val="en-US"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1</w:t>
            </w:r>
            <w:r w:rsidR="0094400D">
              <w:rPr>
                <w:rFonts w:ascii="Arial" w:eastAsia="Times New Roman" w:hAnsi="Arial" w:cs="Arial"/>
                <w:sz w:val="18"/>
                <w:szCs w:val="18"/>
                <w:vertAlign w:val="superscript"/>
                <w:lang w:eastAsia="uk-UA"/>
              </w:rPr>
              <w:t>1</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Pr>
                <w:rFonts w:ascii="Arial" w:eastAsia="Times New Roman" w:hAnsi="Arial" w:cs="Arial"/>
                <w:i/>
                <w:iCs/>
                <w:sz w:val="18"/>
                <w:szCs w:val="18"/>
                <w:bdr w:val="none" w:sz="0" w:space="0" w:color="auto" w:frame="1"/>
                <w:vertAlign w:val="superscript"/>
                <w:lang w:eastAsia="uk-UA"/>
              </w:rPr>
              <w:t>1</w:t>
            </w:r>
            <w:r w:rsidR="0094400D" w:rsidRPr="0094400D">
              <w:rPr>
                <w:rFonts w:ascii="Arial" w:eastAsia="Times New Roman" w:hAnsi="Arial" w:cs="Arial"/>
                <w:i/>
                <w:iCs/>
                <w:sz w:val="18"/>
                <w:szCs w:val="18"/>
                <w:bdr w:val="none" w:sz="0" w:space="0" w:color="auto" w:frame="1"/>
                <w:vertAlign w:val="superscript"/>
                <w:lang w:eastAsia="uk-UA"/>
              </w:rPr>
              <w:t>1</w:t>
            </w:r>
            <w:r>
              <w:rPr>
                <w:rFonts w:ascii="Arial" w:eastAsia="Times New Roman" w:hAnsi="Arial" w:cs="Arial"/>
                <w:i/>
                <w:iCs/>
                <w:sz w:val="18"/>
                <w:szCs w:val="18"/>
                <w:bdr w:val="none" w:sz="0" w:space="0" w:color="auto" w:frame="1"/>
                <w:vertAlign w:val="superscript"/>
                <w:lang w:eastAsia="uk-UA"/>
              </w:rPr>
              <w:t xml:space="preserve"> </w:t>
            </w:r>
            <w:r w:rsidR="00816579" w:rsidRPr="00816579">
              <w:rPr>
                <w:rFonts w:ascii="Arial" w:eastAsia="Times New Roman" w:hAnsi="Arial" w:cs="Arial"/>
                <w:i/>
                <w:iCs/>
                <w:sz w:val="18"/>
                <w:szCs w:val="18"/>
                <w:bdr w:val="none" w:sz="0" w:space="0" w:color="auto" w:frame="1"/>
                <w:lang w:eastAsia="uk-UA"/>
              </w:rPr>
              <w:t>У випадку коли працівник з незалежних від нього причин (наказом по підприємству працівники відділу, цеху тощо були переведені на роботу на умовах неповного робочого тижня у зв'язку з неможливістю забезпечити їх роботою впродовж нормальної тривалості робочого тижня) працював у режимі неповного робочого тижня, середньоденна заробітна плата для оплати часу відпусток провадиться шляхом ділення сумарного заробітку за останні перед наданням відпустки 12 місяців або за менший фактично відпрацьований період на відповідну кількість календарних днів року чи меншого фактично відпрацьованого періоду, зменшену на кількість святкових і неробочих днів, встановлених законодавством (ст. 73</w:t>
            </w:r>
            <w:r w:rsidR="0094400D" w:rsidRPr="0094400D">
              <w:rPr>
                <w:rFonts w:ascii="Arial" w:eastAsia="Times New Roman" w:hAnsi="Arial" w:cs="Arial"/>
                <w:i/>
                <w:iCs/>
                <w:sz w:val="18"/>
                <w:szCs w:val="18"/>
                <w:bdr w:val="none" w:sz="0" w:space="0" w:color="auto" w:frame="1"/>
                <w:lang w:eastAsia="uk-UA"/>
              </w:rPr>
              <w:t xml:space="preserve"> КЗпП</w:t>
            </w:r>
            <w:r w:rsidR="00816579" w:rsidRPr="00816579">
              <w:rPr>
                <w:rFonts w:ascii="Arial" w:eastAsia="Times New Roman" w:hAnsi="Arial" w:cs="Arial"/>
                <w:i/>
                <w:iCs/>
                <w:sz w:val="18"/>
                <w:szCs w:val="18"/>
                <w:bdr w:val="none" w:sz="0" w:space="0" w:color="auto" w:frame="1"/>
                <w:lang w:eastAsia="uk-UA"/>
              </w:rPr>
              <w:t>), а також </w:t>
            </w:r>
            <w:r w:rsidR="00816579" w:rsidRPr="0094400D">
              <w:rPr>
                <w:rFonts w:ascii="Arial" w:eastAsia="Times New Roman" w:hAnsi="Arial" w:cs="Arial"/>
                <w:i/>
                <w:iCs/>
                <w:sz w:val="18"/>
                <w:szCs w:val="18"/>
                <w:bdr w:val="none" w:sz="0" w:space="0" w:color="auto" w:frame="1"/>
                <w:lang w:eastAsia="uk-UA"/>
              </w:rPr>
              <w:t>на кількість робочих днів, протягом яких працівник не працював, при скороченому робочому тижні </w:t>
            </w:r>
            <w:r w:rsidR="00816579" w:rsidRPr="0094400D">
              <w:rPr>
                <w:rFonts w:ascii="Arial" w:eastAsia="Times New Roman" w:hAnsi="Arial" w:cs="Arial"/>
                <w:sz w:val="18"/>
                <w:szCs w:val="18"/>
                <w:lang w:eastAsia="uk-UA"/>
              </w:rPr>
              <w:t>(</w:t>
            </w:r>
            <w:r w:rsidR="00816579" w:rsidRPr="0094400D">
              <w:rPr>
                <w:rFonts w:ascii="Arial" w:eastAsia="Times New Roman" w:hAnsi="Arial" w:cs="Arial"/>
                <w:i/>
                <w:iCs/>
                <w:sz w:val="18"/>
                <w:szCs w:val="18"/>
                <w:bdr w:val="none" w:sz="0" w:space="0" w:color="auto" w:frame="1"/>
                <w:lang w:eastAsia="uk-UA"/>
              </w:rPr>
              <w:t>див</w:t>
            </w:r>
            <w:r w:rsidR="00816579" w:rsidRPr="00816579">
              <w:rPr>
                <w:rFonts w:ascii="Arial" w:eastAsia="Times New Roman" w:hAnsi="Arial" w:cs="Arial"/>
                <w:i/>
                <w:iCs/>
                <w:sz w:val="18"/>
                <w:szCs w:val="18"/>
                <w:bdr w:val="none" w:sz="0" w:space="0" w:color="auto" w:frame="1"/>
                <w:lang w:eastAsia="uk-UA"/>
              </w:rPr>
              <w:t>. лист Мінпраці від 07.08.2009 р.</w:t>
            </w:r>
            <w:r w:rsidR="0094400D" w:rsidRPr="0094400D">
              <w:rPr>
                <w:rFonts w:ascii="Arial" w:eastAsia="Times New Roman" w:hAnsi="Arial" w:cs="Arial"/>
                <w:i/>
                <w:iCs/>
                <w:sz w:val="18"/>
                <w:szCs w:val="18"/>
                <w:bdr w:val="none" w:sz="0" w:space="0" w:color="auto" w:frame="1"/>
                <w:lang w:eastAsia="uk-UA"/>
              </w:rPr>
              <w:t xml:space="preserve"> </w:t>
            </w:r>
            <w:r w:rsidR="0094400D">
              <w:rPr>
                <w:rFonts w:ascii="Arial" w:eastAsia="Times New Roman" w:hAnsi="Arial" w:cs="Arial"/>
                <w:i/>
                <w:iCs/>
                <w:sz w:val="18"/>
                <w:szCs w:val="18"/>
                <w:bdr w:val="none" w:sz="0" w:space="0" w:color="auto" w:frame="1"/>
                <w:lang w:eastAsia="uk-UA"/>
              </w:rPr>
              <w:t>№ 472</w:t>
            </w:r>
            <w:r w:rsidR="0094400D" w:rsidRPr="0094400D">
              <w:rPr>
                <w:rFonts w:ascii="Arial" w:eastAsia="Times New Roman" w:hAnsi="Arial" w:cs="Arial"/>
                <w:i/>
                <w:iCs/>
                <w:sz w:val="18"/>
                <w:szCs w:val="18"/>
                <w:bdr w:val="none" w:sz="0" w:space="0" w:color="auto" w:frame="1"/>
                <w:lang w:eastAsia="uk-UA"/>
              </w:rPr>
              <w:t>/13/84-09</w:t>
            </w:r>
            <w:r w:rsidR="00816579" w:rsidRPr="00816579">
              <w:rPr>
                <w:rFonts w:ascii="Arial" w:eastAsia="Times New Roman" w:hAnsi="Arial" w:cs="Arial"/>
                <w:i/>
                <w:iCs/>
                <w:sz w:val="18"/>
                <w:szCs w:val="18"/>
                <w:bdr w:val="none" w:sz="0" w:space="0" w:color="auto" w:frame="1"/>
                <w:lang w:eastAsia="uk-UA"/>
              </w:rPr>
              <w:t>, від 25.05.2009 р.</w:t>
            </w:r>
            <w:r w:rsidR="0094400D" w:rsidRPr="0094400D">
              <w:rPr>
                <w:rFonts w:ascii="Arial" w:eastAsia="Times New Roman" w:hAnsi="Arial" w:cs="Arial"/>
                <w:i/>
                <w:iCs/>
                <w:sz w:val="18"/>
                <w:szCs w:val="18"/>
                <w:bdr w:val="none" w:sz="0" w:space="0" w:color="auto" w:frame="1"/>
                <w:lang w:eastAsia="uk-UA"/>
              </w:rPr>
              <w:t xml:space="preserve"> </w:t>
            </w:r>
            <w:r w:rsidR="0094400D">
              <w:rPr>
                <w:rFonts w:ascii="Arial" w:eastAsia="Times New Roman" w:hAnsi="Arial" w:cs="Arial"/>
                <w:i/>
                <w:iCs/>
                <w:sz w:val="18"/>
                <w:szCs w:val="18"/>
                <w:bdr w:val="none" w:sz="0" w:space="0" w:color="auto" w:frame="1"/>
                <w:lang w:eastAsia="uk-UA"/>
              </w:rPr>
              <w:t xml:space="preserve">№ </w:t>
            </w:r>
            <w:r w:rsidR="0094400D" w:rsidRPr="0094400D">
              <w:rPr>
                <w:rFonts w:ascii="Arial" w:eastAsia="Times New Roman" w:hAnsi="Arial" w:cs="Arial"/>
                <w:i/>
                <w:iCs/>
                <w:sz w:val="18"/>
                <w:szCs w:val="18"/>
                <w:bdr w:val="none" w:sz="0" w:space="0" w:color="auto" w:frame="1"/>
                <w:lang w:eastAsia="uk-UA"/>
              </w:rPr>
              <w:t>294.13.84-09</w:t>
            </w:r>
            <w:r w:rsidR="00816579" w:rsidRPr="00816579">
              <w:rPr>
                <w:rFonts w:ascii="Arial" w:eastAsia="Times New Roman" w:hAnsi="Arial" w:cs="Arial"/>
                <w:i/>
                <w:iCs/>
                <w:sz w:val="18"/>
                <w:szCs w:val="18"/>
                <w:bdr w:val="none" w:sz="0" w:space="0" w:color="auto" w:frame="1"/>
                <w:lang w:eastAsia="uk-UA"/>
              </w:rPr>
              <w:t>).</w:t>
            </w:r>
          </w:p>
        </w:tc>
      </w:tr>
      <w:tr w:rsidR="00816579" w:rsidRPr="00082C73" w:rsidTr="0094400D">
        <w:tc>
          <w:tcPr>
            <w:tcW w:w="1408" w:type="dxa"/>
            <w:vMerge w:val="restart"/>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2.3.2</w:t>
            </w:r>
          </w:p>
        </w:tc>
        <w:tc>
          <w:tcPr>
            <w:tcW w:w="8471" w:type="dxa"/>
            <w:gridSpan w:val="5"/>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Винагороди та заохочення, що здійснюються раз на рік або мають одноразовий характер:</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винагороди за підсумками роботи за рік, за вислугу років</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94400D"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val="ru-RU"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1</w:t>
            </w:r>
            <w:r w:rsidR="0094400D">
              <w:rPr>
                <w:rFonts w:ascii="Arial" w:eastAsia="Times New Roman" w:hAnsi="Arial" w:cs="Arial"/>
                <w:sz w:val="18"/>
                <w:szCs w:val="18"/>
                <w:vertAlign w:val="superscript"/>
                <w:lang w:val="ru-RU" w:eastAsia="uk-UA"/>
              </w:rPr>
              <w:t>2</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94400D"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val="ru-RU"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1</w:t>
            </w:r>
            <w:r w:rsidR="0094400D">
              <w:rPr>
                <w:rFonts w:ascii="Arial" w:eastAsia="Times New Roman" w:hAnsi="Arial" w:cs="Arial"/>
                <w:sz w:val="18"/>
                <w:szCs w:val="18"/>
                <w:vertAlign w:val="superscript"/>
                <w:lang w:val="ru-RU" w:eastAsia="uk-UA"/>
              </w:rPr>
              <w:t>2</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премії, що виплачуються у встановленому порядку за спеціальними системами преміювання, виплачені відповідно до рішень уряду</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премії за сприяння винахідництву та раціоналізації, створення, освоєння та впровадження нової техніки і технології, уведення в дію в строк і достроково виробничих </w:t>
            </w:r>
            <w:proofErr w:type="spellStart"/>
            <w:r w:rsidRPr="00816579">
              <w:rPr>
                <w:rFonts w:ascii="Arial" w:eastAsia="Times New Roman" w:hAnsi="Arial" w:cs="Arial"/>
                <w:sz w:val="18"/>
                <w:szCs w:val="18"/>
                <w:lang w:eastAsia="uk-UA"/>
              </w:rPr>
              <w:t>потужностей</w:t>
            </w:r>
            <w:proofErr w:type="spellEnd"/>
            <w:r w:rsidRPr="00816579">
              <w:rPr>
                <w:rFonts w:ascii="Arial" w:eastAsia="Times New Roman" w:hAnsi="Arial" w:cs="Arial"/>
                <w:sz w:val="18"/>
                <w:szCs w:val="18"/>
                <w:lang w:eastAsia="uk-UA"/>
              </w:rPr>
              <w:t xml:space="preserve"> й об'єктів будівництва, вчасну поставку продукції на експорт та інші</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премії за виконання важливих та </w:t>
            </w:r>
            <w:r w:rsidRPr="00816579">
              <w:rPr>
                <w:rFonts w:ascii="Arial" w:eastAsia="Times New Roman" w:hAnsi="Arial" w:cs="Arial"/>
                <w:sz w:val="18"/>
                <w:szCs w:val="18"/>
                <w:lang w:eastAsia="uk-UA"/>
              </w:rPr>
              <w:lastRenderedPageBreak/>
              <w:t>особливо важливих завдань</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lastRenderedPageBreak/>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одноразові заохочення, не пов'язані з конкретними результатами праці (наприклад, до ювілейних та пам'ятних дат як у грошовій, так і натуральній формі)</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грошова винагорода державним службовцям за сумлінну безперервну працю в органах державної влади, зразкове виконання трудових обов'язків</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F8043C"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Pr>
                <w:rFonts w:ascii="Arial" w:eastAsia="Times New Roman" w:hAnsi="Arial" w:cs="Arial"/>
                <w:sz w:val="18"/>
                <w:szCs w:val="18"/>
                <w:vertAlign w:val="superscript"/>
                <w:lang w:eastAsia="uk-UA"/>
              </w:rPr>
              <w:t>1</w:t>
            </w:r>
            <w:r w:rsidR="0094400D">
              <w:rPr>
                <w:rFonts w:ascii="Arial" w:eastAsia="Times New Roman" w:hAnsi="Arial" w:cs="Arial"/>
                <w:sz w:val="18"/>
                <w:szCs w:val="18"/>
                <w:vertAlign w:val="superscript"/>
                <w:lang w:val="ru-RU" w:eastAsia="uk-UA"/>
              </w:rPr>
              <w:t>2</w:t>
            </w:r>
            <w:r w:rsidR="00816579" w:rsidRPr="00816579">
              <w:rPr>
                <w:rFonts w:ascii="Arial" w:eastAsia="Times New Roman" w:hAnsi="Arial" w:cs="Arial"/>
                <w:sz w:val="18"/>
                <w:szCs w:val="18"/>
                <w:vertAlign w:val="superscript"/>
                <w:lang w:eastAsia="uk-UA"/>
              </w:rPr>
              <w:t> </w:t>
            </w:r>
            <w:r w:rsidR="00816579" w:rsidRPr="00816579">
              <w:rPr>
                <w:rFonts w:ascii="Arial" w:eastAsia="Times New Roman" w:hAnsi="Arial" w:cs="Arial"/>
                <w:i/>
                <w:iCs/>
                <w:sz w:val="18"/>
                <w:szCs w:val="18"/>
                <w:bdr w:val="none" w:sz="0" w:space="0" w:color="auto" w:frame="1"/>
                <w:lang w:eastAsia="uk-UA"/>
              </w:rPr>
              <w:t>Одноразова винагорода за підсумками роботи за рік і за вислугу років включається в середній заробіток шляхом додавання до заробітку кожного місяця розрахункового періоду 1/12 винагороди, нарахованої </w:t>
            </w:r>
            <w:r w:rsidR="00816579" w:rsidRPr="0094400D">
              <w:rPr>
                <w:rFonts w:ascii="Arial" w:eastAsia="Times New Roman" w:hAnsi="Arial" w:cs="Arial"/>
                <w:i/>
                <w:iCs/>
                <w:sz w:val="18"/>
                <w:szCs w:val="18"/>
                <w:bdr w:val="none" w:sz="0" w:space="0" w:color="auto" w:frame="1"/>
                <w:lang w:eastAsia="uk-UA"/>
              </w:rPr>
              <w:t>в поточному році за попередній календарний рік</w:t>
            </w:r>
            <w:r w:rsidR="00816579" w:rsidRPr="00816579">
              <w:rPr>
                <w:rFonts w:ascii="Arial" w:eastAsia="Times New Roman" w:hAnsi="Arial" w:cs="Arial"/>
                <w:i/>
                <w:iCs/>
                <w:sz w:val="18"/>
                <w:szCs w:val="18"/>
                <w:bdr w:val="none" w:sz="0" w:space="0" w:color="auto" w:frame="1"/>
                <w:lang w:eastAsia="uk-UA"/>
              </w:rPr>
              <w:t> (</w:t>
            </w:r>
            <w:proofErr w:type="spellStart"/>
            <w:r w:rsidR="00816579" w:rsidRPr="00816579">
              <w:rPr>
                <w:rFonts w:ascii="Arial" w:eastAsia="Times New Roman" w:hAnsi="Arial" w:cs="Arial"/>
                <w:i/>
                <w:iCs/>
                <w:sz w:val="18"/>
                <w:szCs w:val="18"/>
                <w:bdr w:val="none" w:sz="0" w:space="0" w:color="auto" w:frame="1"/>
                <w:lang w:eastAsia="uk-UA"/>
              </w:rPr>
              <w:t>абз</w:t>
            </w:r>
            <w:proofErr w:type="spellEnd"/>
            <w:r w:rsidR="00816579" w:rsidRPr="00816579">
              <w:rPr>
                <w:rFonts w:ascii="Arial" w:eastAsia="Times New Roman" w:hAnsi="Arial" w:cs="Arial"/>
                <w:i/>
                <w:iCs/>
                <w:sz w:val="18"/>
                <w:szCs w:val="18"/>
                <w:bdr w:val="none" w:sz="0" w:space="0" w:color="auto" w:frame="1"/>
                <w:lang w:eastAsia="uk-UA"/>
              </w:rPr>
              <w:t>. 2 п. 3</w:t>
            </w:r>
            <w:r w:rsidR="0094400D">
              <w:rPr>
                <w:rFonts w:ascii="Arial" w:eastAsia="Times New Roman" w:hAnsi="Arial" w:cs="Arial"/>
                <w:i/>
                <w:iCs/>
                <w:sz w:val="18"/>
                <w:szCs w:val="18"/>
                <w:bdr w:val="none" w:sz="0" w:space="0" w:color="auto" w:frame="1"/>
                <w:lang w:val="ru-RU" w:eastAsia="uk-UA"/>
              </w:rPr>
              <w:t xml:space="preserve"> </w:t>
            </w:r>
            <w:r w:rsidR="0094400D">
              <w:rPr>
                <w:rFonts w:ascii="Arial" w:eastAsia="Times New Roman" w:hAnsi="Arial" w:cs="Arial"/>
                <w:i/>
                <w:iCs/>
                <w:sz w:val="18"/>
                <w:szCs w:val="18"/>
                <w:bdr w:val="none" w:sz="0" w:space="0" w:color="auto" w:frame="1"/>
                <w:lang w:eastAsia="uk-UA"/>
              </w:rPr>
              <w:t>Порядку № 100</w:t>
            </w:r>
            <w:r w:rsidR="00816579" w:rsidRPr="00816579">
              <w:rPr>
                <w:rFonts w:ascii="Arial" w:eastAsia="Times New Roman" w:hAnsi="Arial" w:cs="Arial"/>
                <w:i/>
                <w:iCs/>
                <w:sz w:val="18"/>
                <w:szCs w:val="18"/>
                <w:bdr w:val="none" w:sz="0" w:space="0" w:color="auto" w:frame="1"/>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2.3.3</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Матеріальна допомога, що має систематичний характер, надана всім або більшості працівників (на оздоровлення, у зв'язку з екологічним станом):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94400D"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val="ru-RU"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1</w:t>
            </w:r>
            <w:r w:rsidR="0094400D">
              <w:rPr>
                <w:rFonts w:ascii="Arial" w:eastAsia="Times New Roman" w:hAnsi="Arial" w:cs="Arial"/>
                <w:sz w:val="18"/>
                <w:szCs w:val="18"/>
                <w:vertAlign w:val="superscript"/>
                <w:lang w:val="ru-RU" w:eastAsia="uk-UA"/>
              </w:rPr>
              <w:t>3</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94400D"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val="ru-RU"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1</w:t>
            </w:r>
            <w:r w:rsidR="0094400D">
              <w:rPr>
                <w:rFonts w:ascii="Arial" w:eastAsia="Times New Roman" w:hAnsi="Arial" w:cs="Arial"/>
                <w:sz w:val="18"/>
                <w:szCs w:val="18"/>
                <w:vertAlign w:val="superscript"/>
                <w:lang w:val="ru-RU" w:eastAsia="uk-UA"/>
              </w:rPr>
              <w:t>3</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1</w:t>
            </w:r>
            <w:r w:rsidR="0094400D">
              <w:rPr>
                <w:rFonts w:ascii="Arial" w:eastAsia="Times New Roman" w:hAnsi="Arial" w:cs="Arial"/>
                <w:sz w:val="18"/>
                <w:szCs w:val="18"/>
                <w:vertAlign w:val="superscript"/>
                <w:lang w:eastAsia="uk-UA"/>
              </w:rPr>
              <w:t>4</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r w:rsidR="00F8043C">
              <w:rPr>
                <w:rFonts w:ascii="Arial" w:eastAsia="Times New Roman" w:hAnsi="Arial" w:cs="Arial"/>
                <w:sz w:val="18"/>
                <w:szCs w:val="18"/>
                <w:vertAlign w:val="superscript"/>
                <w:lang w:eastAsia="uk-UA"/>
              </w:rPr>
              <w:t>1</w:t>
            </w:r>
            <w:r w:rsidR="0094400D">
              <w:rPr>
                <w:rFonts w:ascii="Arial" w:eastAsia="Times New Roman" w:hAnsi="Arial" w:cs="Arial"/>
                <w:sz w:val="18"/>
                <w:szCs w:val="18"/>
                <w:vertAlign w:val="superscript"/>
                <w:lang w:eastAsia="uk-UA"/>
              </w:rPr>
              <w:t>4</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94400D" w:rsidRDefault="00F8043C" w:rsidP="0094400D">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i/>
                <w:iCs/>
                <w:sz w:val="18"/>
                <w:szCs w:val="18"/>
                <w:bdr w:val="none" w:sz="0" w:space="0" w:color="auto" w:frame="1"/>
                <w:lang w:eastAsia="uk-UA"/>
              </w:rPr>
            </w:pPr>
            <w:r>
              <w:rPr>
                <w:rFonts w:ascii="Arial" w:eastAsia="Times New Roman" w:hAnsi="Arial" w:cs="Arial"/>
                <w:sz w:val="18"/>
                <w:szCs w:val="18"/>
                <w:vertAlign w:val="superscript"/>
                <w:lang w:eastAsia="uk-UA"/>
              </w:rPr>
              <w:t>1</w:t>
            </w:r>
            <w:r w:rsidR="0094400D">
              <w:rPr>
                <w:rFonts w:ascii="Arial" w:eastAsia="Times New Roman" w:hAnsi="Arial" w:cs="Arial"/>
                <w:sz w:val="18"/>
                <w:szCs w:val="18"/>
                <w:vertAlign w:val="superscript"/>
                <w:lang w:val="ru-RU" w:eastAsia="uk-UA"/>
              </w:rPr>
              <w:t>3</w:t>
            </w:r>
            <w:r w:rsidR="00816579" w:rsidRPr="00816579">
              <w:rPr>
                <w:rFonts w:ascii="Arial" w:eastAsia="Times New Roman" w:hAnsi="Arial" w:cs="Arial"/>
                <w:sz w:val="18"/>
                <w:szCs w:val="18"/>
                <w:lang w:eastAsia="uk-UA"/>
              </w:rPr>
              <w:t> </w:t>
            </w:r>
            <w:r w:rsidR="00816579" w:rsidRPr="00816579">
              <w:rPr>
                <w:rFonts w:ascii="Arial" w:eastAsia="Times New Roman" w:hAnsi="Arial" w:cs="Arial"/>
                <w:i/>
                <w:iCs/>
                <w:sz w:val="18"/>
                <w:szCs w:val="18"/>
                <w:bdr w:val="none" w:sz="0" w:space="0" w:color="auto" w:frame="1"/>
                <w:lang w:eastAsia="uk-UA"/>
              </w:rPr>
              <w:t>У розрахунок середньої заробітної плати не включається, зокрема сума матеріальної допомоги (</w:t>
            </w:r>
            <w:proofErr w:type="spellStart"/>
            <w:r w:rsidR="00816579" w:rsidRPr="00816579">
              <w:rPr>
                <w:rFonts w:ascii="Arial" w:eastAsia="Times New Roman" w:hAnsi="Arial" w:cs="Arial"/>
                <w:i/>
                <w:iCs/>
                <w:sz w:val="18"/>
                <w:szCs w:val="18"/>
                <w:bdr w:val="none" w:sz="0" w:space="0" w:color="auto" w:frame="1"/>
                <w:lang w:eastAsia="uk-UA"/>
              </w:rPr>
              <w:t>пп</w:t>
            </w:r>
            <w:proofErr w:type="spellEnd"/>
            <w:r w:rsidR="00816579" w:rsidRPr="00816579">
              <w:rPr>
                <w:rFonts w:ascii="Arial" w:eastAsia="Times New Roman" w:hAnsi="Arial" w:cs="Arial"/>
                <w:i/>
                <w:iCs/>
                <w:sz w:val="18"/>
                <w:szCs w:val="18"/>
                <w:bdr w:val="none" w:sz="0" w:space="0" w:color="auto" w:frame="1"/>
                <w:lang w:eastAsia="uk-UA"/>
              </w:rPr>
              <w:t>. «б» п. 4</w:t>
            </w:r>
            <w:r w:rsidR="0094400D" w:rsidRPr="0094400D">
              <w:rPr>
                <w:rFonts w:ascii="Arial" w:eastAsia="Times New Roman" w:hAnsi="Arial" w:cs="Arial"/>
                <w:i/>
                <w:iCs/>
                <w:sz w:val="18"/>
                <w:szCs w:val="18"/>
                <w:bdr w:val="none" w:sz="0" w:space="0" w:color="auto" w:frame="1"/>
                <w:lang w:eastAsia="uk-UA"/>
              </w:rPr>
              <w:t xml:space="preserve"> </w:t>
            </w:r>
            <w:r w:rsidR="0094400D">
              <w:rPr>
                <w:rFonts w:ascii="Arial" w:eastAsia="Times New Roman" w:hAnsi="Arial" w:cs="Arial"/>
                <w:i/>
                <w:iCs/>
                <w:sz w:val="18"/>
                <w:szCs w:val="18"/>
                <w:bdr w:val="none" w:sz="0" w:space="0" w:color="auto" w:frame="1"/>
                <w:lang w:eastAsia="uk-UA"/>
              </w:rPr>
              <w:t>Порядку № 100</w:t>
            </w:r>
            <w:r w:rsidR="00816579" w:rsidRPr="00816579">
              <w:rPr>
                <w:rFonts w:ascii="Arial" w:eastAsia="Times New Roman" w:hAnsi="Arial" w:cs="Arial"/>
                <w:i/>
                <w:iCs/>
                <w:sz w:val="18"/>
                <w:szCs w:val="18"/>
                <w:bdr w:val="none" w:sz="0" w:space="0" w:color="auto" w:frame="1"/>
                <w:lang w:eastAsia="uk-UA"/>
              </w:rPr>
              <w:t>)</w:t>
            </w:r>
            <w:r w:rsidR="0094400D">
              <w:rPr>
                <w:rFonts w:ascii="Arial" w:eastAsia="Times New Roman" w:hAnsi="Arial" w:cs="Arial"/>
                <w:i/>
                <w:iCs/>
                <w:sz w:val="18"/>
                <w:szCs w:val="18"/>
                <w:bdr w:val="none" w:sz="0" w:space="0" w:color="auto" w:frame="1"/>
                <w:lang w:val="ru-RU" w:eastAsia="uk-UA"/>
              </w:rPr>
              <w:t xml:space="preserve">, </w:t>
            </w:r>
            <w:r w:rsidR="0094400D">
              <w:rPr>
                <w:rFonts w:ascii="Arial" w:eastAsia="Times New Roman" w:hAnsi="Arial" w:cs="Arial"/>
                <w:i/>
                <w:iCs/>
                <w:sz w:val="18"/>
                <w:szCs w:val="18"/>
                <w:bdr w:val="none" w:sz="0" w:space="0" w:color="auto" w:frame="1"/>
                <w:lang w:eastAsia="uk-UA"/>
              </w:rPr>
              <w:t>як оподатковувана, так і не оподатковувана</w:t>
            </w:r>
          </w:p>
          <w:p w:rsidR="00816579" w:rsidRPr="00816579" w:rsidRDefault="00F8043C" w:rsidP="0094400D">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Pr>
                <w:rFonts w:ascii="Arial" w:eastAsia="Times New Roman" w:hAnsi="Arial" w:cs="Arial"/>
                <w:sz w:val="18"/>
                <w:szCs w:val="18"/>
                <w:vertAlign w:val="superscript"/>
                <w:lang w:eastAsia="uk-UA"/>
              </w:rPr>
              <w:t>1</w:t>
            </w:r>
            <w:r w:rsidR="0094400D">
              <w:rPr>
                <w:rFonts w:ascii="Arial" w:eastAsia="Times New Roman" w:hAnsi="Arial" w:cs="Arial"/>
                <w:sz w:val="18"/>
                <w:szCs w:val="18"/>
                <w:vertAlign w:val="superscript"/>
                <w:lang w:eastAsia="uk-UA"/>
              </w:rPr>
              <w:t>4</w:t>
            </w:r>
            <w:r w:rsidR="00816579" w:rsidRPr="00816579">
              <w:rPr>
                <w:rFonts w:ascii="Arial" w:eastAsia="Times New Roman" w:hAnsi="Arial" w:cs="Arial"/>
                <w:sz w:val="18"/>
                <w:szCs w:val="18"/>
                <w:lang w:eastAsia="uk-UA"/>
              </w:rPr>
              <w:t> </w:t>
            </w:r>
            <w:r w:rsidR="00816579" w:rsidRPr="00816579">
              <w:rPr>
                <w:rFonts w:ascii="Arial" w:eastAsia="Times New Roman" w:hAnsi="Arial" w:cs="Arial"/>
                <w:i/>
                <w:iCs/>
                <w:sz w:val="18"/>
                <w:szCs w:val="18"/>
                <w:bdr w:val="none" w:sz="0" w:space="0" w:color="auto" w:frame="1"/>
                <w:lang w:eastAsia="uk-UA"/>
              </w:rPr>
              <w:t>Включається за умови, що з виплати сплачува</w:t>
            </w:r>
            <w:r w:rsidR="0094400D">
              <w:rPr>
                <w:rFonts w:ascii="Arial" w:eastAsia="Times New Roman" w:hAnsi="Arial" w:cs="Arial"/>
                <w:i/>
                <w:iCs/>
                <w:sz w:val="18"/>
                <w:szCs w:val="18"/>
                <w:bdr w:val="none" w:sz="0" w:space="0" w:color="auto" w:frame="1"/>
                <w:lang w:eastAsia="uk-UA"/>
              </w:rPr>
              <w:t>в</w:t>
            </w:r>
            <w:r w:rsidR="00816579" w:rsidRPr="00816579">
              <w:rPr>
                <w:rFonts w:ascii="Arial" w:eastAsia="Times New Roman" w:hAnsi="Arial" w:cs="Arial"/>
                <w:i/>
                <w:iCs/>
                <w:sz w:val="18"/>
                <w:szCs w:val="18"/>
                <w:bdr w:val="none" w:sz="0" w:space="0" w:color="auto" w:frame="1"/>
                <w:lang w:eastAsia="uk-UA"/>
              </w:rPr>
              <w:t xml:space="preserve">ся </w:t>
            </w:r>
            <w:r w:rsidR="0094400D">
              <w:rPr>
                <w:rFonts w:ascii="Arial" w:eastAsia="Times New Roman" w:hAnsi="Arial" w:cs="Arial"/>
                <w:i/>
                <w:iCs/>
                <w:sz w:val="18"/>
                <w:szCs w:val="18"/>
                <w:bdr w:val="none" w:sz="0" w:space="0" w:color="auto" w:frame="1"/>
                <w:lang w:eastAsia="uk-UA"/>
              </w:rPr>
              <w:t>ЄСВ</w:t>
            </w:r>
          </w:p>
        </w:tc>
      </w:tr>
      <w:tr w:rsidR="00816579" w:rsidRPr="00082C73" w:rsidTr="0094400D">
        <w:tc>
          <w:tcPr>
            <w:tcW w:w="1408" w:type="dxa"/>
            <w:vMerge w:val="restart"/>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2.3.4</w:t>
            </w:r>
          </w:p>
        </w:tc>
        <w:tc>
          <w:tcPr>
            <w:tcW w:w="8471" w:type="dxa"/>
            <w:gridSpan w:val="5"/>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Виплати соціального характеру у грошовій і натуральній формі:</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витрати в розмірі страхових внесків підприємств (крім випадків, зазначених у п. 3.5</w:t>
            </w:r>
            <w:r w:rsidR="0094400D">
              <w:rPr>
                <w:rFonts w:ascii="Arial" w:eastAsia="Times New Roman" w:hAnsi="Arial" w:cs="Arial"/>
                <w:sz w:val="18"/>
                <w:szCs w:val="18"/>
                <w:lang w:eastAsia="uk-UA"/>
              </w:rPr>
              <w:t xml:space="preserve"> Інструкції № 5</w:t>
            </w:r>
            <w:r w:rsidRPr="00816579">
              <w:rPr>
                <w:rFonts w:ascii="Arial" w:eastAsia="Times New Roman" w:hAnsi="Arial" w:cs="Arial"/>
                <w:sz w:val="18"/>
                <w:szCs w:val="18"/>
                <w:lang w:eastAsia="uk-UA"/>
              </w:rPr>
              <w:t>) на користь працівників, пов'язаних з добровільним страхуванням (особистим, страхуванням майна)</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або дотації на харчування працівників, у тому числі в їдальнях, буфетах, профілакторіях</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за утримання дітей працівників у дошкільних закладах</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вартість путівок працівникам та членам їхніх сімей на лікування та відпочинок, екскурсії або суми </w:t>
            </w:r>
            <w:r w:rsidRPr="00816579">
              <w:rPr>
                <w:rFonts w:ascii="Arial" w:eastAsia="Times New Roman" w:hAnsi="Arial" w:cs="Arial"/>
                <w:sz w:val="18"/>
                <w:szCs w:val="18"/>
                <w:lang w:eastAsia="uk-UA"/>
              </w:rPr>
              <w:lastRenderedPageBreak/>
              <w:t>компенсацій, видані замість путівок за рахунок коштів підприємства (крім випадків, указаних у п. 3.2</w:t>
            </w:r>
            <w:r w:rsidR="0094400D">
              <w:rPr>
                <w:rFonts w:ascii="Arial" w:eastAsia="Times New Roman" w:hAnsi="Arial" w:cs="Arial"/>
                <w:sz w:val="18"/>
                <w:szCs w:val="18"/>
                <w:lang w:eastAsia="uk-UA"/>
              </w:rPr>
              <w:t xml:space="preserve"> Інструкції № 5</w:t>
            </w:r>
            <w:r w:rsidRPr="00816579">
              <w:rPr>
                <w:rFonts w:ascii="Arial" w:eastAsia="Times New Roman" w:hAnsi="Arial" w:cs="Arial"/>
                <w:sz w:val="18"/>
                <w:szCs w:val="18"/>
                <w:lang w:eastAsia="uk-UA"/>
              </w:rPr>
              <w:t>)</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lastRenderedPageBreak/>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вартість проїзних квитків, які персонально розподіляються між працівниками, та відшкодування працівникам вартості проїзду транспортом загального користування</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інші виплати, що мають індивідуальний характер (оплата квартири та найманого житла, гуртожитків, товарів, продуктових замовлень, абонементів у групи здоров'я, передплати на газети та журнали, протезування, суми компенсації вартості виданого працівникам палива у випадках, не передбачених чинним законодавством)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9879" w:type="dxa"/>
            <w:gridSpan w:val="6"/>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b/>
                <w:bCs/>
                <w:sz w:val="18"/>
                <w:szCs w:val="18"/>
                <w:bdr w:val="none" w:sz="0" w:space="0" w:color="auto" w:frame="1"/>
                <w:lang w:eastAsia="uk-UA"/>
              </w:rPr>
              <w:t>2. ІНШІ ВИПЛАТИ, ЩО НЕ НАЛЕЖАТЬ ДО ФОНДУ ОПЛАТИ ПРАЦІ</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3.1</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Внески підприємств на загальнообов'язкове державне соціальне страхування</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vMerge w:val="restart"/>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3.2</w:t>
            </w:r>
          </w:p>
        </w:tc>
        <w:tc>
          <w:tcPr>
            <w:tcW w:w="8471" w:type="dxa"/>
            <w:gridSpan w:val="5"/>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Допомоги та інші виплати, що здійснюються за рахунок коштів фондів державного соціального страхування:</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допомога по тимчасовій непрацездатності</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допомога по вагітності та пологах</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115950"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val="ru-RU"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допомога при народженні дитини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допомога по догляду за дитиною до досягнення нею трирічного віку</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допомога на поховання</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путівок на санаторно-курортне лікування та оздоровлення</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допомога по частковому безробіттю</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lastRenderedPageBreak/>
              <w:t>3.3</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перших п'яти днів тимчасової непрацездатності за рахунок коштів підприємства, установи, організації</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3.4</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Соціальні допомоги та виплати за рахунок коштів підприємства, установлені колективним договором (працівникам, які перебувають у відпустці для догляду за дитиною, на народження дитини, сім'ям з неповнолітніми дітьми).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3.6</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Одноразова допомога працівникам, які виходять на пенсію згідно з діючим законодавством та колективними договорами (включаючи грошову допомогу державним службовцям та науковим (науково-педагогічним) працівникам).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r w:rsidRPr="00816579">
              <w:rPr>
                <w:rFonts w:ascii="Arial" w:eastAsia="Times New Roman" w:hAnsi="Arial" w:cs="Arial"/>
                <w:sz w:val="18"/>
                <w:szCs w:val="18"/>
                <w:lang w:eastAsia="uk-UA"/>
              </w:rPr>
              <w:t> </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Надбавки та доплати до державних пенсій працюючим пенсіонерам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3.8</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Суми вихідної допомоги при припиненні трудового договору</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3.9</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Суми, нараховані працівникам за час затримки розрахунку при звільненні</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3.10</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Витрати на платне навчання працівників і членів їхніх сімей, не пов'язане з виробничою необхідністю, згідно з договором між підприємством та навчальним закладом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3.11</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Видатки підприємств на покриття витрат ПФУ на виплату та доставку пільгових пенсій</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3.12</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Виплати в установленому розмірі особам, які потерпіли від Чорнобильської катастрофи (окрім зазначених у </w:t>
            </w:r>
            <w:proofErr w:type="spellStart"/>
            <w:r w:rsidRPr="00816579">
              <w:rPr>
                <w:rFonts w:ascii="Arial" w:eastAsia="Times New Roman" w:hAnsi="Arial" w:cs="Arial"/>
                <w:sz w:val="18"/>
                <w:szCs w:val="18"/>
                <w:lang w:eastAsia="uk-UA"/>
              </w:rPr>
              <w:t>пп</w:t>
            </w:r>
            <w:proofErr w:type="spellEnd"/>
            <w:r w:rsidRPr="00816579">
              <w:rPr>
                <w:rFonts w:ascii="Arial" w:eastAsia="Times New Roman" w:hAnsi="Arial" w:cs="Arial"/>
                <w:sz w:val="18"/>
                <w:szCs w:val="18"/>
                <w:lang w:eastAsia="uk-UA"/>
              </w:rPr>
              <w:t>. 2.2.1, 2.2.12</w:t>
            </w:r>
            <w:r w:rsidR="0094400D">
              <w:rPr>
                <w:rFonts w:ascii="Arial" w:eastAsia="Times New Roman" w:hAnsi="Arial" w:cs="Arial"/>
                <w:sz w:val="18"/>
                <w:szCs w:val="18"/>
                <w:lang w:eastAsia="uk-UA"/>
              </w:rPr>
              <w:t xml:space="preserve"> Інструкції № 5)</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3.13</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Компенсація моральної шкоди </w:t>
            </w:r>
            <w:r w:rsidRPr="00816579">
              <w:rPr>
                <w:rFonts w:ascii="Arial" w:eastAsia="Times New Roman" w:hAnsi="Arial" w:cs="Arial"/>
                <w:sz w:val="18"/>
                <w:szCs w:val="18"/>
                <w:lang w:eastAsia="uk-UA"/>
              </w:rPr>
              <w:lastRenderedPageBreak/>
              <w:t>працівникам за рахунок коштів підприємства, що виплачується за рішенням суду</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lastRenderedPageBreak/>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3.14</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Винагорода, що сплачується за авторським договором на створення та використання творів науки, літератури та мистецтва, окрім зазначеної у </w:t>
            </w:r>
            <w:proofErr w:type="spellStart"/>
            <w:r w:rsidRPr="00816579">
              <w:rPr>
                <w:rFonts w:ascii="Arial" w:eastAsia="Times New Roman" w:hAnsi="Arial" w:cs="Arial"/>
                <w:sz w:val="18"/>
                <w:szCs w:val="18"/>
                <w:lang w:eastAsia="uk-UA"/>
              </w:rPr>
              <w:t>пп</w:t>
            </w:r>
            <w:proofErr w:type="spellEnd"/>
            <w:r w:rsidRPr="00816579">
              <w:rPr>
                <w:rFonts w:ascii="Arial" w:eastAsia="Times New Roman" w:hAnsi="Arial" w:cs="Arial"/>
                <w:sz w:val="18"/>
                <w:szCs w:val="18"/>
                <w:lang w:eastAsia="uk-UA"/>
              </w:rPr>
              <w:t>. 2.1.3</w:t>
            </w:r>
            <w:r w:rsidR="0094400D">
              <w:rPr>
                <w:rFonts w:ascii="Arial" w:eastAsia="Times New Roman" w:hAnsi="Arial" w:cs="Arial"/>
                <w:sz w:val="18"/>
                <w:szCs w:val="18"/>
                <w:lang w:eastAsia="uk-UA"/>
              </w:rPr>
              <w:t xml:space="preserve"> Інструкції № 5</w:t>
            </w:r>
            <w:r w:rsidR="0094400D" w:rsidRPr="00816579">
              <w:rPr>
                <w:rFonts w:ascii="Arial" w:eastAsia="Times New Roman" w:hAnsi="Arial" w:cs="Arial"/>
                <w:sz w:val="18"/>
                <w:szCs w:val="18"/>
                <w:lang w:eastAsia="uk-UA"/>
              </w:rPr>
              <w:t xml:space="preserve"> </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vMerge w:val="restart"/>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3.15</w:t>
            </w:r>
          </w:p>
        </w:tc>
        <w:tc>
          <w:tcPr>
            <w:tcW w:w="8471" w:type="dxa"/>
            <w:gridSpan w:val="5"/>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Витрати на відрядження:</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добові (у повному обсязі)</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вартість проїзду</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витрати на наймання житлового приміщення</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компенсаційні виплати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добові, які виплачуються при переїзді на роботу в іншу місцевість згідно з чинним законодавством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3.16</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Надбавки (польове забезпечення) до тарифних ставок і посадових окладів працівників, направлених для виконання монтажних, налагоджувальних, ремонтних і будівельних робіт, і працівників, робота яких виконується вахтовим методом, постійно проводиться в дорозі або має роз'їзний (пересувний) характер, у розмірах, визначених чинним законодавством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3.17</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Витрати на колективне харчування плавскладу річкового, морського та рибопромислового флотів, а також харчування льотного складу цивільної авіації при виконанні завдань польоту, які можуть бути прирівняні до добових витрат, що виплачуються в період відрядження</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3.18</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Витрати на харчування учасників спортивних заходів, у т. ч. суддів, на </w:t>
            </w:r>
            <w:r w:rsidRPr="00816579">
              <w:rPr>
                <w:rFonts w:ascii="Arial" w:eastAsia="Times New Roman" w:hAnsi="Arial" w:cs="Arial"/>
                <w:sz w:val="18"/>
                <w:szCs w:val="18"/>
                <w:lang w:eastAsia="uk-UA"/>
              </w:rPr>
              <w:lastRenderedPageBreak/>
              <w:t>час перебування на спортивних змаганнях та навчально-тренувальних зборах у межах установлених норм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lastRenderedPageBreak/>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3.19</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Вартість виданого спецодягу, спецвзуття та інших засобів індивідуального захисту, мийних та знешкоджувальних засобів, молока та лікувально-профілактичного харчування або відшкодування витрат за придбання в разі невидачі їх адміністрацією</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3.20</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Вартість придбаних підприємством проїзних квитків, які персонально не розподіляються між працівниками, а видаються їм у міру потреби для виконання виробничих завдань (у зв'язку зі специфікою роботи)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3.21</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Витрати на перевезення працівників до місця роботи як власним, так і орендованим транспортом (крім оплати праці водіїв)</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3.22</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Компенсації працівникам за використання для потреб виробництва власного інструменту та особистого транспорту</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3.23</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Вартість подарунків до свят і квитків на видовищні заходи для дітей працівників</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vMerge w:val="restart"/>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3.24</w:t>
            </w:r>
          </w:p>
        </w:tc>
        <w:tc>
          <w:tcPr>
            <w:tcW w:w="8471" w:type="dxa"/>
            <w:gridSpan w:val="5"/>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Витрати на підготовку та перепідготовку кадрів (крім витрат на заробітну плату, зазначених у </w:t>
            </w:r>
            <w:proofErr w:type="spellStart"/>
            <w:r w:rsidRPr="00816579">
              <w:rPr>
                <w:rFonts w:ascii="Arial" w:eastAsia="Times New Roman" w:hAnsi="Arial" w:cs="Arial"/>
                <w:sz w:val="18"/>
                <w:szCs w:val="18"/>
                <w:lang w:eastAsia="uk-UA"/>
              </w:rPr>
              <w:t>пп</w:t>
            </w:r>
            <w:proofErr w:type="spellEnd"/>
            <w:r w:rsidRPr="00816579">
              <w:rPr>
                <w:rFonts w:ascii="Arial" w:eastAsia="Times New Roman" w:hAnsi="Arial" w:cs="Arial"/>
                <w:sz w:val="18"/>
                <w:szCs w:val="18"/>
                <w:lang w:eastAsia="uk-UA"/>
              </w:rPr>
              <w:t>. 2.2.12</w:t>
            </w:r>
            <w:r w:rsidR="0094400D">
              <w:rPr>
                <w:rFonts w:ascii="Arial" w:eastAsia="Times New Roman" w:hAnsi="Arial" w:cs="Arial"/>
                <w:sz w:val="18"/>
                <w:szCs w:val="18"/>
                <w:lang w:eastAsia="uk-UA"/>
              </w:rPr>
              <w:t xml:space="preserve"> Інструкції № 5</w:t>
            </w: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витрати на оплату навчання працівників у вищих навчальних закладах та установах підвищення кваліфікації, професійної підготовки й перепідготовки кадрів</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стипендії слухачам підготовчих відділень, студентам, аспірантам, направленим підприємствами на </w:t>
            </w:r>
            <w:r w:rsidRPr="00816579">
              <w:rPr>
                <w:rFonts w:ascii="Arial" w:eastAsia="Times New Roman" w:hAnsi="Arial" w:cs="Arial"/>
                <w:sz w:val="18"/>
                <w:szCs w:val="18"/>
                <w:lang w:eastAsia="uk-UA"/>
              </w:rPr>
              <w:lastRenderedPageBreak/>
              <w:t>навчання з відривом від виробництва у вищі навчальні заклади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lastRenderedPageBreak/>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оплата проїзду до місцезнаходження навчального закладу та назад</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0" w:type="auto"/>
            <w:vMerge/>
            <w:tcBorders>
              <w:top w:val="single" w:sz="6" w:space="0" w:color="auto"/>
              <w:left w:val="single" w:sz="6" w:space="0" w:color="auto"/>
              <w:bottom w:val="single" w:sz="6" w:space="0" w:color="auto"/>
              <w:right w:val="single" w:sz="6" w:space="0" w:color="auto"/>
            </w:tcBorders>
            <w:vAlign w:val="bottom"/>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after="0" w:line="240" w:lineRule="auto"/>
              <w:rPr>
                <w:rFonts w:ascii="Arial" w:eastAsia="Times New Roman" w:hAnsi="Arial" w:cs="Arial"/>
                <w:sz w:val="18"/>
                <w:szCs w:val="18"/>
                <w:lang w:eastAsia="uk-UA"/>
              </w:rPr>
            </w:pP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витрати, пов'язані з організацією навчального процесу (придбання учбового матеріалу, оренда приміщень)</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3.25</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Стипендії, що призначаються згідно із чинним законодавством, видатним діячам науки, освіти та культури, фізичної культури та спорту, інформаційної галузі, олімпійським і </w:t>
            </w:r>
            <w:proofErr w:type="spellStart"/>
            <w:r w:rsidRPr="00816579">
              <w:rPr>
                <w:rFonts w:ascii="Arial" w:eastAsia="Times New Roman" w:hAnsi="Arial" w:cs="Arial"/>
                <w:sz w:val="18"/>
                <w:szCs w:val="18"/>
                <w:lang w:eastAsia="uk-UA"/>
              </w:rPr>
              <w:t>паралімпійським</w:t>
            </w:r>
            <w:proofErr w:type="spellEnd"/>
            <w:r w:rsidRPr="00816579">
              <w:rPr>
                <w:rFonts w:ascii="Arial" w:eastAsia="Times New Roman" w:hAnsi="Arial" w:cs="Arial"/>
                <w:sz w:val="18"/>
                <w:szCs w:val="18"/>
                <w:lang w:eastAsia="uk-UA"/>
              </w:rPr>
              <w:t xml:space="preserve"> чемпіонам, видатним спортсменам і тренерам з олімпійських видів спорту, талановитим і перспективним спортсменам, молодим ученим, та інші державні стипендії</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3.26</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Довічна плата за звання дійсного члена та члена-кореспондента академії наук</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3.27</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Витрати на проведення культурно-освітніх і оздоровчих заходів, утримання громадських служб (крім оплати праці їх працівників), витрати на благоустрій садівничих товариств, будівництво гаражів для працівників</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3.28</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Позики, видані працівникам для поліпшення житлових умов, на індивідуальне будівництво, заведення домашнього господарства</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3.29</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Вартість житла, переданого у власність працівникам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3.30.</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Autospacing="1" w:after="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 xml:space="preserve">Витрати підприємств на оплату послуг із лікування працівників, які були надані установами охорони здоров'я (крім виплат, зазначених у </w:t>
            </w:r>
            <w:proofErr w:type="spellStart"/>
            <w:r w:rsidRPr="00816579">
              <w:rPr>
                <w:rFonts w:ascii="Arial" w:eastAsia="Times New Roman" w:hAnsi="Arial" w:cs="Arial"/>
                <w:sz w:val="18"/>
                <w:szCs w:val="18"/>
                <w:lang w:eastAsia="uk-UA"/>
              </w:rPr>
              <w:lastRenderedPageBreak/>
              <w:t>пп</w:t>
            </w:r>
            <w:proofErr w:type="spellEnd"/>
            <w:r w:rsidRPr="00816579">
              <w:rPr>
                <w:rFonts w:ascii="Arial" w:eastAsia="Times New Roman" w:hAnsi="Arial" w:cs="Arial"/>
                <w:sz w:val="18"/>
                <w:szCs w:val="18"/>
                <w:lang w:eastAsia="uk-UA"/>
              </w:rPr>
              <w:t>. 2.3.3</w:t>
            </w:r>
            <w:r w:rsidR="0094400D">
              <w:rPr>
                <w:rFonts w:ascii="Arial" w:eastAsia="Times New Roman" w:hAnsi="Arial" w:cs="Arial"/>
                <w:sz w:val="18"/>
                <w:szCs w:val="18"/>
                <w:lang w:eastAsia="uk-UA"/>
              </w:rPr>
              <w:t xml:space="preserve"> Інструкції № 5</w:t>
            </w:r>
            <w:r w:rsidRPr="00816579">
              <w:rPr>
                <w:rFonts w:ascii="Arial" w:eastAsia="Times New Roman" w:hAnsi="Arial" w:cs="Arial"/>
                <w:sz w:val="18"/>
                <w:szCs w:val="18"/>
                <w:lang w:eastAsia="uk-UA"/>
              </w:rPr>
              <w:t>)</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lastRenderedPageBreak/>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3.31</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Матеріальна допомога разового характеру, що надається підприємством окремим працівникам у зв'язку із сімейними обставинами, на оплату лікування, оздоровлення дітей, поховання</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3.32</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Суми матеріальної та благодійної допомоги, виплачені особам, які не перебувають у трудових відносинах із підприємством</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3.33</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Суми матеріальної допомоги незалежно від її розміру, що надається на підставі рішень КМУ у зв'язку зі стихійним та екологічним лихом, аваріями та катастрофами місцевими органами державної виконавчої влади, профспілками, благодійними фондами й іноземними державами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r w:rsidR="00816579" w:rsidRPr="00082C73" w:rsidTr="0094400D">
        <w:tc>
          <w:tcPr>
            <w:tcW w:w="1408"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3.34</w:t>
            </w:r>
          </w:p>
        </w:tc>
        <w:tc>
          <w:tcPr>
            <w:tcW w:w="364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Грошове забезпечення військовослужбовців Збройних Сил України, Державної прикордонної служби України, Служби безпеки України, Управління державної охорони України, інших утворених відповідно до законів України військових формувань, осіб начальницького й рядового складу органів внутрішніх справ, кримінально-виконавчої системи, податкової міліції України, державної пожежної охорони Міністерства України з питань надзвичайних ситуацій та у справах захисту населення від наслідків Чорнобильської катастрофи</w:t>
            </w:r>
          </w:p>
        </w:tc>
        <w:tc>
          <w:tcPr>
            <w:tcW w:w="1210"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66"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214"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c>
          <w:tcPr>
            <w:tcW w:w="1141" w:type="dxa"/>
            <w:tcBorders>
              <w:top w:val="single" w:sz="6" w:space="0" w:color="auto"/>
              <w:left w:val="single" w:sz="6" w:space="0" w:color="auto"/>
              <w:bottom w:val="single" w:sz="6" w:space="0" w:color="auto"/>
              <w:right w:val="single" w:sz="6" w:space="0" w:color="auto"/>
            </w:tcBorders>
            <w:tcMar>
              <w:top w:w="0" w:type="dxa"/>
              <w:left w:w="225" w:type="dxa"/>
              <w:bottom w:w="0" w:type="dxa"/>
              <w:right w:w="225" w:type="dxa"/>
            </w:tcMar>
            <w:hideMark/>
          </w:tcPr>
          <w:p w:rsidR="00816579" w:rsidRPr="00816579" w:rsidRDefault="00816579" w:rsidP="009509A1">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00" w:beforeAutospacing="1" w:after="100" w:afterAutospacing="1" w:line="336" w:lineRule="atLeast"/>
              <w:jc w:val="center"/>
              <w:textAlignment w:val="baseline"/>
              <w:rPr>
                <w:rFonts w:ascii="Arial" w:eastAsia="Times New Roman" w:hAnsi="Arial" w:cs="Arial"/>
                <w:sz w:val="18"/>
                <w:szCs w:val="18"/>
                <w:lang w:eastAsia="uk-UA"/>
              </w:rPr>
            </w:pPr>
            <w:r w:rsidRPr="00816579">
              <w:rPr>
                <w:rFonts w:ascii="Arial" w:eastAsia="Times New Roman" w:hAnsi="Arial" w:cs="Arial"/>
                <w:sz w:val="18"/>
                <w:szCs w:val="18"/>
                <w:lang w:eastAsia="uk-UA"/>
              </w:rPr>
              <w:t>—</w:t>
            </w:r>
          </w:p>
        </w:tc>
      </w:tr>
    </w:tbl>
    <w:p w:rsidR="00D26474" w:rsidRDefault="00816579" w:rsidP="0094400D">
      <w:pPr>
        <w:pBdr>
          <w:top w:val="single" w:sz="6" w:space="1" w:color="FFFFFF" w:themeColor="background1"/>
          <w:left w:val="single" w:sz="6" w:space="1" w:color="FFFFFF" w:themeColor="background1"/>
          <w:bottom w:val="single" w:sz="6" w:space="1" w:color="FFFFFF" w:themeColor="background1"/>
          <w:right w:val="single" w:sz="6" w:space="1" w:color="FFFFFF" w:themeColor="background1"/>
          <w:between w:val="single" w:sz="6" w:space="1" w:color="FFFFFF" w:themeColor="background1"/>
          <w:bar w:val="single" w:sz="6" w:color="FFFFFF" w:themeColor="background1"/>
        </w:pBdr>
        <w:spacing w:before="192" w:after="192" w:line="336" w:lineRule="atLeast"/>
        <w:jc w:val="both"/>
        <w:textAlignment w:val="baseline"/>
      </w:pPr>
      <w:r w:rsidRPr="00816579">
        <w:rPr>
          <w:rFonts w:ascii="Helvetica" w:eastAsia="Times New Roman" w:hAnsi="Helvetica" w:cs="Helvetica"/>
          <w:color w:val="000000"/>
          <w:sz w:val="18"/>
          <w:szCs w:val="18"/>
          <w:lang w:eastAsia="uk-UA"/>
        </w:rPr>
        <w:t> </w:t>
      </w:r>
      <w:bookmarkStart w:id="0" w:name="_GoBack"/>
      <w:bookmarkEnd w:id="0"/>
    </w:p>
    <w:sectPr w:rsidR="00D264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287"/>
    <w:rsid w:val="00000368"/>
    <w:rsid w:val="00082C73"/>
    <w:rsid w:val="00115950"/>
    <w:rsid w:val="002976A7"/>
    <w:rsid w:val="002E3E14"/>
    <w:rsid w:val="00394287"/>
    <w:rsid w:val="00816579"/>
    <w:rsid w:val="00933135"/>
    <w:rsid w:val="0094400D"/>
    <w:rsid w:val="009509A1"/>
    <w:rsid w:val="009E0A5B"/>
    <w:rsid w:val="00A037C6"/>
    <w:rsid w:val="00CB6238"/>
    <w:rsid w:val="00D26474"/>
    <w:rsid w:val="00DC734C"/>
    <w:rsid w:val="00F804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BC8A3"/>
  <w15:chartTrackingRefBased/>
  <w15:docId w15:val="{92594DB6-966C-4077-816C-F5869B56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Обычный (веб)"/>
    <w:basedOn w:val="a"/>
    <w:uiPriority w:val="99"/>
    <w:semiHidden/>
    <w:unhideWhenUsed/>
    <w:rsid w:val="00816579"/>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Emphasis"/>
    <w:uiPriority w:val="20"/>
    <w:qFormat/>
    <w:rsid w:val="00816579"/>
    <w:rPr>
      <w:i/>
      <w:iCs/>
    </w:rPr>
  </w:style>
  <w:style w:type="character" w:styleId="a5">
    <w:name w:val="Strong"/>
    <w:uiPriority w:val="22"/>
    <w:qFormat/>
    <w:rsid w:val="00816579"/>
    <w:rPr>
      <w:b/>
      <w:bCs/>
    </w:rPr>
  </w:style>
  <w:style w:type="character" w:customStyle="1" w:styleId="apple-converted-space">
    <w:name w:val="apple-converted-space"/>
    <w:basedOn w:val="a0"/>
    <w:rsid w:val="00816579"/>
  </w:style>
  <w:style w:type="character" w:styleId="a6">
    <w:name w:val="Hyperlink"/>
    <w:uiPriority w:val="99"/>
    <w:semiHidden/>
    <w:unhideWhenUsed/>
    <w:rsid w:val="00816579"/>
    <w:rPr>
      <w:color w:val="0000FF"/>
      <w:u w:val="single"/>
    </w:rPr>
  </w:style>
  <w:style w:type="character" w:styleId="a7">
    <w:name w:val="FollowedHyperlink"/>
    <w:uiPriority w:val="99"/>
    <w:semiHidden/>
    <w:unhideWhenUsed/>
    <w:rsid w:val="0081657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7287">
      <w:bodyDiv w:val="1"/>
      <w:marLeft w:val="0"/>
      <w:marRight w:val="0"/>
      <w:marTop w:val="0"/>
      <w:marBottom w:val="0"/>
      <w:divBdr>
        <w:top w:val="none" w:sz="0" w:space="0" w:color="auto"/>
        <w:left w:val="none" w:sz="0" w:space="0" w:color="auto"/>
        <w:bottom w:val="none" w:sz="0" w:space="0" w:color="auto"/>
        <w:right w:val="none" w:sz="0" w:space="0" w:color="auto"/>
      </w:divBdr>
      <w:divsChild>
        <w:div w:id="1588541748">
          <w:marLeft w:val="0"/>
          <w:marRight w:val="0"/>
          <w:marTop w:val="0"/>
          <w:marBottom w:val="0"/>
          <w:divBdr>
            <w:top w:val="none" w:sz="0" w:space="0" w:color="auto"/>
            <w:left w:val="none" w:sz="0" w:space="0" w:color="auto"/>
            <w:bottom w:val="none" w:sz="0" w:space="0" w:color="auto"/>
            <w:right w:val="none" w:sz="0" w:space="0" w:color="auto"/>
          </w:divBdr>
          <w:divsChild>
            <w:div w:id="1239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nterbuh.com.ua/ua/documents/oneregulations/20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12575</Words>
  <Characters>7168</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19704</CharactersWithSpaces>
  <SharedDoc>false</SharedDoc>
  <HLinks>
    <vt:vector size="186" baseType="variant">
      <vt:variant>
        <vt:i4>4063344</vt:i4>
      </vt:variant>
      <vt:variant>
        <vt:i4>90</vt:i4>
      </vt:variant>
      <vt:variant>
        <vt:i4>0</vt:i4>
      </vt:variant>
      <vt:variant>
        <vt:i4>5</vt:i4>
      </vt:variant>
      <vt:variant>
        <vt:lpwstr>http://www.interbuh.com.ua/ua/documents/oneregulations/2029</vt:lpwstr>
      </vt:variant>
      <vt:variant>
        <vt:lpwstr/>
      </vt:variant>
      <vt:variant>
        <vt:i4>4063344</vt:i4>
      </vt:variant>
      <vt:variant>
        <vt:i4>87</vt:i4>
      </vt:variant>
      <vt:variant>
        <vt:i4>0</vt:i4>
      </vt:variant>
      <vt:variant>
        <vt:i4>5</vt:i4>
      </vt:variant>
      <vt:variant>
        <vt:lpwstr>http://www.interbuh.com.ua/ua/documents/oneregulations/2029</vt:lpwstr>
      </vt:variant>
      <vt:variant>
        <vt:lpwstr/>
      </vt:variant>
      <vt:variant>
        <vt:i4>6488119</vt:i4>
      </vt:variant>
      <vt:variant>
        <vt:i4>84</vt:i4>
      </vt:variant>
      <vt:variant>
        <vt:i4>0</vt:i4>
      </vt:variant>
      <vt:variant>
        <vt:i4>5</vt:i4>
      </vt:variant>
      <vt:variant>
        <vt:lpwstr>http://www.interbuh.com.ua/secured/document?id=6732</vt:lpwstr>
      </vt:variant>
      <vt:variant>
        <vt:lpwstr/>
      </vt:variant>
      <vt:variant>
        <vt:i4>4063344</vt:i4>
      </vt:variant>
      <vt:variant>
        <vt:i4>81</vt:i4>
      </vt:variant>
      <vt:variant>
        <vt:i4>0</vt:i4>
      </vt:variant>
      <vt:variant>
        <vt:i4>5</vt:i4>
      </vt:variant>
      <vt:variant>
        <vt:lpwstr>http://www.interbuh.com.ua/ua/documents/oneregulations/2029</vt:lpwstr>
      </vt:variant>
      <vt:variant>
        <vt:lpwstr/>
      </vt:variant>
      <vt:variant>
        <vt:i4>4063344</vt:i4>
      </vt:variant>
      <vt:variant>
        <vt:i4>78</vt:i4>
      </vt:variant>
      <vt:variant>
        <vt:i4>0</vt:i4>
      </vt:variant>
      <vt:variant>
        <vt:i4>5</vt:i4>
      </vt:variant>
      <vt:variant>
        <vt:lpwstr>http://www.interbuh.com.ua/ua/documents/oneregulations/2029</vt:lpwstr>
      </vt:variant>
      <vt:variant>
        <vt:lpwstr/>
      </vt:variant>
      <vt:variant>
        <vt:i4>4063344</vt:i4>
      </vt:variant>
      <vt:variant>
        <vt:i4>75</vt:i4>
      </vt:variant>
      <vt:variant>
        <vt:i4>0</vt:i4>
      </vt:variant>
      <vt:variant>
        <vt:i4>5</vt:i4>
      </vt:variant>
      <vt:variant>
        <vt:lpwstr>http://www.interbuh.com.ua/ua/documents/oneregulations/2029</vt:lpwstr>
      </vt:variant>
      <vt:variant>
        <vt:lpwstr/>
      </vt:variant>
      <vt:variant>
        <vt:i4>4063344</vt:i4>
      </vt:variant>
      <vt:variant>
        <vt:i4>72</vt:i4>
      </vt:variant>
      <vt:variant>
        <vt:i4>0</vt:i4>
      </vt:variant>
      <vt:variant>
        <vt:i4>5</vt:i4>
      </vt:variant>
      <vt:variant>
        <vt:lpwstr>http://www.interbuh.com.ua/ua/documents/oneregulations/2029</vt:lpwstr>
      </vt:variant>
      <vt:variant>
        <vt:lpwstr/>
      </vt:variant>
      <vt:variant>
        <vt:i4>3735670</vt:i4>
      </vt:variant>
      <vt:variant>
        <vt:i4>69</vt:i4>
      </vt:variant>
      <vt:variant>
        <vt:i4>0</vt:i4>
      </vt:variant>
      <vt:variant>
        <vt:i4>5</vt:i4>
      </vt:variant>
      <vt:variant>
        <vt:lpwstr>http://www.interbuh.com.ua/ua/documents/oneregulations/2659</vt:lpwstr>
      </vt:variant>
      <vt:variant>
        <vt:lpwstr/>
      </vt:variant>
      <vt:variant>
        <vt:i4>6357047</vt:i4>
      </vt:variant>
      <vt:variant>
        <vt:i4>66</vt:i4>
      </vt:variant>
      <vt:variant>
        <vt:i4>0</vt:i4>
      </vt:variant>
      <vt:variant>
        <vt:i4>5</vt:i4>
      </vt:variant>
      <vt:variant>
        <vt:lpwstr>http://www.interbuh.com.ua/secured/document?id=6717</vt:lpwstr>
      </vt:variant>
      <vt:variant>
        <vt:lpwstr/>
      </vt:variant>
      <vt:variant>
        <vt:i4>4063347</vt:i4>
      </vt:variant>
      <vt:variant>
        <vt:i4>63</vt:i4>
      </vt:variant>
      <vt:variant>
        <vt:i4>0</vt:i4>
      </vt:variant>
      <vt:variant>
        <vt:i4>5</vt:i4>
      </vt:variant>
      <vt:variant>
        <vt:lpwstr>http://www.interbuh.com.ua/ua/documents/oneregulations/1310</vt:lpwstr>
      </vt:variant>
      <vt:variant>
        <vt:lpwstr/>
      </vt:variant>
      <vt:variant>
        <vt:i4>4063347</vt:i4>
      </vt:variant>
      <vt:variant>
        <vt:i4>60</vt:i4>
      </vt:variant>
      <vt:variant>
        <vt:i4>0</vt:i4>
      </vt:variant>
      <vt:variant>
        <vt:i4>5</vt:i4>
      </vt:variant>
      <vt:variant>
        <vt:lpwstr>http://www.interbuh.com.ua/ua/documents/oneregulations/1310</vt:lpwstr>
      </vt:variant>
      <vt:variant>
        <vt:lpwstr/>
      </vt:variant>
      <vt:variant>
        <vt:i4>4063347</vt:i4>
      </vt:variant>
      <vt:variant>
        <vt:i4>57</vt:i4>
      </vt:variant>
      <vt:variant>
        <vt:i4>0</vt:i4>
      </vt:variant>
      <vt:variant>
        <vt:i4>5</vt:i4>
      </vt:variant>
      <vt:variant>
        <vt:lpwstr>http://www.interbuh.com.ua/ua/documents/oneregulations/1310</vt:lpwstr>
      </vt:variant>
      <vt:variant>
        <vt:lpwstr/>
      </vt:variant>
      <vt:variant>
        <vt:i4>6750262</vt:i4>
      </vt:variant>
      <vt:variant>
        <vt:i4>54</vt:i4>
      </vt:variant>
      <vt:variant>
        <vt:i4>0</vt:i4>
      </vt:variant>
      <vt:variant>
        <vt:i4>5</vt:i4>
      </vt:variant>
      <vt:variant>
        <vt:lpwstr>http://www.interbuh.com.ua/secured/document?id=6679</vt:lpwstr>
      </vt:variant>
      <vt:variant>
        <vt:lpwstr/>
      </vt:variant>
      <vt:variant>
        <vt:i4>6357047</vt:i4>
      </vt:variant>
      <vt:variant>
        <vt:i4>51</vt:i4>
      </vt:variant>
      <vt:variant>
        <vt:i4>0</vt:i4>
      </vt:variant>
      <vt:variant>
        <vt:i4>5</vt:i4>
      </vt:variant>
      <vt:variant>
        <vt:lpwstr>http://www.interbuh.com.ua/secured/document?id=6715</vt:lpwstr>
      </vt:variant>
      <vt:variant>
        <vt:lpwstr/>
      </vt:variant>
      <vt:variant>
        <vt:i4>3407988</vt:i4>
      </vt:variant>
      <vt:variant>
        <vt:i4>48</vt:i4>
      </vt:variant>
      <vt:variant>
        <vt:i4>0</vt:i4>
      </vt:variant>
      <vt:variant>
        <vt:i4>5</vt:i4>
      </vt:variant>
      <vt:variant>
        <vt:lpwstr>http://www.interbuh.com.ua/ua/documents/oneregulations/842</vt:lpwstr>
      </vt:variant>
      <vt:variant>
        <vt:lpwstr/>
      </vt:variant>
      <vt:variant>
        <vt:i4>6815798</vt:i4>
      </vt:variant>
      <vt:variant>
        <vt:i4>45</vt:i4>
      </vt:variant>
      <vt:variant>
        <vt:i4>0</vt:i4>
      </vt:variant>
      <vt:variant>
        <vt:i4>5</vt:i4>
      </vt:variant>
      <vt:variant>
        <vt:lpwstr>http://www.interbuh.com.ua/secured/document?id=6682</vt:lpwstr>
      </vt:variant>
      <vt:variant>
        <vt:lpwstr/>
      </vt:variant>
      <vt:variant>
        <vt:i4>3801201</vt:i4>
      </vt:variant>
      <vt:variant>
        <vt:i4>42</vt:i4>
      </vt:variant>
      <vt:variant>
        <vt:i4>0</vt:i4>
      </vt:variant>
      <vt:variant>
        <vt:i4>5</vt:i4>
      </vt:variant>
      <vt:variant>
        <vt:lpwstr>http://www.interbuh.com.ua/ua/documents/oneregulations/2160</vt:lpwstr>
      </vt:variant>
      <vt:variant>
        <vt:lpwstr/>
      </vt:variant>
      <vt:variant>
        <vt:i4>4063347</vt:i4>
      </vt:variant>
      <vt:variant>
        <vt:i4>39</vt:i4>
      </vt:variant>
      <vt:variant>
        <vt:i4>0</vt:i4>
      </vt:variant>
      <vt:variant>
        <vt:i4>5</vt:i4>
      </vt:variant>
      <vt:variant>
        <vt:lpwstr>http://www.interbuh.com.ua/ua/documents/oneregulations/1310</vt:lpwstr>
      </vt:variant>
      <vt:variant>
        <vt:lpwstr/>
      </vt:variant>
      <vt:variant>
        <vt:i4>6422583</vt:i4>
      </vt:variant>
      <vt:variant>
        <vt:i4>36</vt:i4>
      </vt:variant>
      <vt:variant>
        <vt:i4>0</vt:i4>
      </vt:variant>
      <vt:variant>
        <vt:i4>5</vt:i4>
      </vt:variant>
      <vt:variant>
        <vt:lpwstr>http://www.interbuh.com.ua/secured/document?id=6729</vt:lpwstr>
      </vt:variant>
      <vt:variant>
        <vt:lpwstr/>
      </vt:variant>
      <vt:variant>
        <vt:i4>4063347</vt:i4>
      </vt:variant>
      <vt:variant>
        <vt:i4>33</vt:i4>
      </vt:variant>
      <vt:variant>
        <vt:i4>0</vt:i4>
      </vt:variant>
      <vt:variant>
        <vt:i4>5</vt:i4>
      </vt:variant>
      <vt:variant>
        <vt:lpwstr>http://www.interbuh.com.ua/ua/documents/oneregulations/1310</vt:lpwstr>
      </vt:variant>
      <vt:variant>
        <vt:lpwstr/>
      </vt:variant>
      <vt:variant>
        <vt:i4>4063347</vt:i4>
      </vt:variant>
      <vt:variant>
        <vt:i4>30</vt:i4>
      </vt:variant>
      <vt:variant>
        <vt:i4>0</vt:i4>
      </vt:variant>
      <vt:variant>
        <vt:i4>5</vt:i4>
      </vt:variant>
      <vt:variant>
        <vt:lpwstr>http://www.interbuh.com.ua/ua/documents/oneregulations/1310</vt:lpwstr>
      </vt:variant>
      <vt:variant>
        <vt:lpwstr/>
      </vt:variant>
      <vt:variant>
        <vt:i4>3801200</vt:i4>
      </vt:variant>
      <vt:variant>
        <vt:i4>27</vt:i4>
      </vt:variant>
      <vt:variant>
        <vt:i4>0</vt:i4>
      </vt:variant>
      <vt:variant>
        <vt:i4>5</vt:i4>
      </vt:variant>
      <vt:variant>
        <vt:lpwstr>http://www.interbuh.com.ua/ua/documents/oneregulations/1057</vt:lpwstr>
      </vt:variant>
      <vt:variant>
        <vt:lpwstr/>
      </vt:variant>
      <vt:variant>
        <vt:i4>4063347</vt:i4>
      </vt:variant>
      <vt:variant>
        <vt:i4>24</vt:i4>
      </vt:variant>
      <vt:variant>
        <vt:i4>0</vt:i4>
      </vt:variant>
      <vt:variant>
        <vt:i4>5</vt:i4>
      </vt:variant>
      <vt:variant>
        <vt:lpwstr>http://www.interbuh.com.ua/ua/documents/oneregulations/1310</vt:lpwstr>
      </vt:variant>
      <vt:variant>
        <vt:lpwstr/>
      </vt:variant>
      <vt:variant>
        <vt:i4>4063347</vt:i4>
      </vt:variant>
      <vt:variant>
        <vt:i4>21</vt:i4>
      </vt:variant>
      <vt:variant>
        <vt:i4>0</vt:i4>
      </vt:variant>
      <vt:variant>
        <vt:i4>5</vt:i4>
      </vt:variant>
      <vt:variant>
        <vt:lpwstr>http://www.interbuh.com.ua/ua/documents/oneregulations/1310</vt:lpwstr>
      </vt:variant>
      <vt:variant>
        <vt:lpwstr/>
      </vt:variant>
      <vt:variant>
        <vt:i4>4063347</vt:i4>
      </vt:variant>
      <vt:variant>
        <vt:i4>18</vt:i4>
      </vt:variant>
      <vt:variant>
        <vt:i4>0</vt:i4>
      </vt:variant>
      <vt:variant>
        <vt:i4>5</vt:i4>
      </vt:variant>
      <vt:variant>
        <vt:lpwstr>http://www.interbuh.com.ua/ua/documents/oneregulations/1310</vt:lpwstr>
      </vt:variant>
      <vt:variant>
        <vt:lpwstr/>
      </vt:variant>
      <vt:variant>
        <vt:i4>3801201</vt:i4>
      </vt:variant>
      <vt:variant>
        <vt:i4>15</vt:i4>
      </vt:variant>
      <vt:variant>
        <vt:i4>0</vt:i4>
      </vt:variant>
      <vt:variant>
        <vt:i4>5</vt:i4>
      </vt:variant>
      <vt:variant>
        <vt:lpwstr>http://www.interbuh.com.ua/ua/documents/oneregulations/2160</vt:lpwstr>
      </vt:variant>
      <vt:variant>
        <vt:lpwstr/>
      </vt:variant>
      <vt:variant>
        <vt:i4>4063347</vt:i4>
      </vt:variant>
      <vt:variant>
        <vt:i4>12</vt:i4>
      </vt:variant>
      <vt:variant>
        <vt:i4>0</vt:i4>
      </vt:variant>
      <vt:variant>
        <vt:i4>5</vt:i4>
      </vt:variant>
      <vt:variant>
        <vt:lpwstr>http://www.interbuh.com.ua/ua/documents/oneregulations/1310</vt:lpwstr>
      </vt:variant>
      <vt:variant>
        <vt:lpwstr/>
      </vt:variant>
      <vt:variant>
        <vt:i4>4063344</vt:i4>
      </vt:variant>
      <vt:variant>
        <vt:i4>9</vt:i4>
      </vt:variant>
      <vt:variant>
        <vt:i4>0</vt:i4>
      </vt:variant>
      <vt:variant>
        <vt:i4>5</vt:i4>
      </vt:variant>
      <vt:variant>
        <vt:lpwstr>http://www.interbuh.com.ua/ua/documents/oneregulations/2029</vt:lpwstr>
      </vt:variant>
      <vt:variant>
        <vt:lpwstr/>
      </vt:variant>
      <vt:variant>
        <vt:i4>4063347</vt:i4>
      </vt:variant>
      <vt:variant>
        <vt:i4>6</vt:i4>
      </vt:variant>
      <vt:variant>
        <vt:i4>0</vt:i4>
      </vt:variant>
      <vt:variant>
        <vt:i4>5</vt:i4>
      </vt:variant>
      <vt:variant>
        <vt:lpwstr>http://www.interbuh.com.ua/ua/documents/oneregulations/1310</vt:lpwstr>
      </vt:variant>
      <vt:variant>
        <vt:lpwstr/>
      </vt:variant>
      <vt:variant>
        <vt:i4>4063347</vt:i4>
      </vt:variant>
      <vt:variant>
        <vt:i4>3</vt:i4>
      </vt:variant>
      <vt:variant>
        <vt:i4>0</vt:i4>
      </vt:variant>
      <vt:variant>
        <vt:i4>5</vt:i4>
      </vt:variant>
      <vt:variant>
        <vt:lpwstr>http://www.interbuh.com.ua/ua/documents/oneregulations/1310</vt:lpwstr>
      </vt:variant>
      <vt:variant>
        <vt:lpwstr/>
      </vt:variant>
      <vt:variant>
        <vt:i4>4063344</vt:i4>
      </vt:variant>
      <vt:variant>
        <vt:i4>0</vt:i4>
      </vt:variant>
      <vt:variant>
        <vt:i4>0</vt:i4>
      </vt:variant>
      <vt:variant>
        <vt:i4>5</vt:i4>
      </vt:variant>
      <vt:variant>
        <vt:lpwstr>http://www.interbuh.com.ua/ua/documents/oneregulations/2029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LOTA</cp:lastModifiedBy>
  <cp:revision>2</cp:revision>
  <dcterms:created xsi:type="dcterms:W3CDTF">2019-10-03T19:27:00Z</dcterms:created>
  <dcterms:modified xsi:type="dcterms:W3CDTF">2019-10-03T19:27:00Z</dcterms:modified>
</cp:coreProperties>
</file>